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BD1D19" w:sz="6" w:space="0"/>
        </w:pBdr>
        <w:shd w:val="clear" w:color="auto" w:fill="FFFFFF"/>
        <w:outlineLvl w:val="0"/>
        <w:rPr>
          <w:rFonts w:ascii="黑体" w:hAnsi="黑体" w:eastAsia="黑体" w:cs="宋体"/>
          <w:b/>
          <w:bCs/>
          <w:color w:val="333333"/>
          <w:kern w:val="36"/>
          <w:sz w:val="28"/>
          <w:szCs w:val="28"/>
        </w:rPr>
      </w:pPr>
      <w:r>
        <w:rPr>
          <w:rFonts w:ascii="黑体" w:hAnsi="黑体" w:eastAsia="黑体" w:cs="宋体"/>
          <w:b/>
          <w:bCs/>
          <w:color w:val="333333"/>
          <w:kern w:val="36"/>
          <w:sz w:val="28"/>
          <w:szCs w:val="28"/>
        </w:rPr>
        <w:pict>
          <v:shape id="_x0000_i1025" o:spt="75" type="#_x0000_t75" style="height:60.75pt;width:435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widowControl/>
        <w:pBdr>
          <w:bottom w:val="single" w:color="BD1D19" w:sz="6" w:space="0"/>
        </w:pBdr>
        <w:shd w:val="clear" w:color="auto" w:fill="FFFFFF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0"/>
          <w:szCs w:val="30"/>
        </w:rPr>
        <w:t>中国人民大学技术经济及管理专业2017年度</w:t>
      </w:r>
    </w:p>
    <w:p>
      <w:pPr>
        <w:widowControl/>
        <w:pBdr>
          <w:bottom w:val="single" w:color="BD1D19" w:sz="6" w:space="0"/>
        </w:pBdr>
        <w:shd w:val="clear" w:color="auto" w:fill="FFFFFF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0"/>
          <w:szCs w:val="30"/>
        </w:rPr>
        <w:t>课程研修班简章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一、专业介绍</w:t>
      </w:r>
    </w:p>
    <w:p>
      <w:pPr>
        <w:spacing w:line="360" w:lineRule="auto"/>
        <w:ind w:firstLine="420" w:firstLineChars="200"/>
        <w:jc w:val="left"/>
        <w:rPr>
          <w:bCs/>
          <w:color w:val="FF0000"/>
          <w:szCs w:val="21"/>
        </w:rPr>
      </w:pPr>
      <w:r>
        <w:rPr>
          <w:rFonts w:hint="eastAsia" w:ascii="宋体" w:hAnsi="宋体"/>
          <w:szCs w:val="21"/>
        </w:rPr>
        <w:t xml:space="preserve"> 中国人民大学管理学专业作为全国重点学科，以其国际化的具有前沿性的教学模式闻名于国内外，经常与国内外著名大学进行教学科研交流。</w:t>
      </w:r>
      <w:r>
        <w:rPr>
          <w:rFonts w:hint="eastAsia"/>
          <w:bCs/>
          <w:color w:val="000000"/>
          <w:szCs w:val="21"/>
        </w:rPr>
        <w:t>本</w:t>
      </w:r>
      <w:r>
        <w:rPr>
          <w:bCs/>
          <w:color w:val="000000"/>
          <w:szCs w:val="21"/>
        </w:rPr>
        <w:t>专业注重高品质、高素质复合型精英人才的培养</w:t>
      </w:r>
      <w:r>
        <w:rPr>
          <w:rFonts w:hint="eastAsia"/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>课程设置注重前沿性和实践操作性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将经济发展和公司企业管理及决策紧密结合</w:t>
      </w:r>
      <w:r>
        <w:rPr>
          <w:rFonts w:hint="eastAsia"/>
          <w:bCs/>
          <w:color w:val="000000"/>
          <w:szCs w:val="21"/>
        </w:rPr>
        <w:t>；课程教授有</w:t>
      </w:r>
      <w:r>
        <w:rPr>
          <w:bCs/>
          <w:color w:val="000000"/>
          <w:szCs w:val="21"/>
        </w:rPr>
        <w:t>超强师资团队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由我校教授、部委专家、企业高管联合组成</w:t>
      </w:r>
      <w:r>
        <w:rPr>
          <w:rFonts w:hint="eastAsia"/>
          <w:bCs/>
          <w:color w:val="000000"/>
          <w:szCs w:val="21"/>
        </w:rPr>
        <w:t>。更具特色的是还拥有：</w:t>
      </w:r>
    </w:p>
    <w:p>
      <w:pPr>
        <w:spacing w:line="360" w:lineRule="auto"/>
        <w:ind w:firstLine="422" w:firstLineChars="200"/>
        <w:jc w:val="left"/>
        <w:rPr>
          <w:szCs w:val="21"/>
        </w:rPr>
      </w:pPr>
      <w:r>
        <w:rPr>
          <w:b/>
          <w:bCs/>
          <w:szCs w:val="21"/>
        </w:rPr>
        <w:t>完善的班务管理制度</w:t>
      </w:r>
      <w:r>
        <w:rPr>
          <w:b/>
          <w:bCs/>
          <w:szCs w:val="21"/>
        </w:rPr>
        <w:br w:type="textWrapping"/>
      </w:r>
      <w:r>
        <w:rPr>
          <w:szCs w:val="21"/>
        </w:rPr>
        <w:t>提供专职教务管理团队，构建优质服务、全程教学监督、确保高质量完成学业</w:t>
      </w:r>
    </w:p>
    <w:p>
      <w:pPr>
        <w:spacing w:line="360" w:lineRule="auto"/>
        <w:ind w:firstLine="422" w:firstLineChars="200"/>
        <w:jc w:val="left"/>
        <w:rPr>
          <w:szCs w:val="21"/>
        </w:rPr>
      </w:pPr>
      <w:r>
        <w:rPr>
          <w:b/>
          <w:bCs/>
          <w:szCs w:val="21"/>
        </w:rPr>
        <w:t>丰富的班务活动</w:t>
      </w:r>
      <w:r>
        <w:rPr>
          <w:b/>
          <w:bCs/>
          <w:szCs w:val="21"/>
        </w:rPr>
        <w:br w:type="textWrapping"/>
      </w:r>
      <w:r>
        <w:rPr>
          <w:szCs w:val="21"/>
        </w:rPr>
        <w:t>　　定期举办活动交流，不同行业、专业的学员提供多方面的交流与人际拓展平台。</w:t>
      </w:r>
      <w:r>
        <w:rPr>
          <w:szCs w:val="21"/>
        </w:rPr>
        <w:br w:type="textWrapping"/>
      </w:r>
      <w:r>
        <w:rPr>
          <w:szCs w:val="21"/>
        </w:rPr>
        <w:t>　　面对社会经济活动中各类型行业的不断进步、不断发展的要求，为适应改革开放和经济发展对高层次专门人才的需要，提高在职人员的业务素质，中国人民大学在北京举办技术经济及</w:t>
      </w:r>
      <w:r>
        <w:rPr>
          <w:rFonts w:hint="eastAsia"/>
          <w:szCs w:val="21"/>
        </w:rPr>
        <w:t>管理课程研修班</w:t>
      </w:r>
      <w:r>
        <w:rPr>
          <w:szCs w:val="21"/>
        </w:rPr>
        <w:t>。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二、培养目标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培养具有扎实的项目、企业运营管理、管理技术创新、项目管理、经济分析等专长，具有较强的企业管理与经济分析能力的专业人才。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/>
          <w:szCs w:val="21"/>
        </w:rPr>
        <w:t xml:space="preserve"> 培养企事业单位中高层管理人才，战略发展部、企划部、项目管理部、信息管理部、技术创新部的部门经理、项目经理、公司经理等高素质企业经济管理人才。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三、师资力量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黑体"/>
                <w:szCs w:val="22"/>
              </w:rPr>
              <w:pict>
                <v:shape id="图片 8" o:spid="_x0000_s1027" o:spt="75" type="#_x0000_t75" style="position:absolute;left:0pt;margin-left:3.6pt;margin-top:0.85pt;height:154.4pt;width:118.9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温铁军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二级教授，博导，人大学术会副主任，经济与金融研究中心主任，中国农业经济学会副会长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黑体"/>
                <w:b/>
                <w:sz w:val="28"/>
                <w:szCs w:val="28"/>
              </w:rPr>
              <w:pict>
                <v:shape id="图片 1" o:spid="_x0000_s1028" o:spt="75" type="#_x0000_t75" style="position:absolute;left:0pt;margin-left:-5.15pt;margin-top:0.85pt;height:154.4pt;width:119.45pt;mso-wrap-distance-left:9pt;mso-wrap-distance-right:9pt;z-index:-1024;mso-width-relative:page;mso-height-relative:page;" filled="f" o:preferrelative="t" stroked="f" coordsize="21600,21600" wrapcoords="-271 0 -271 21404 21699 21404 21699 0 -271 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tight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唐 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经济学博士，现任中国人民大学农业与农村发展学院院长、教授、博士生导师。学术委员会委员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64" o:spid="_x0000_s1029" o:spt="75" type="#_x0000_t75" style="position:absolute;left:0pt;margin-left:-13.95pt;margin-top:5.95pt;height:148.55pt;width:122.8pt;mso-wrap-distance-bottom:0pt;mso-wrap-distance-left:0pt;mso-wrap-distance-right:0pt;mso-wrap-distance-top:0pt;z-index:-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孔祥智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经济学博士，教授、博士生导师，党委书记兼副院长，人大中国合作社研究院院长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Picture 9" o:spid="_x0000_s1030" o:spt="75" type="#_x0000_t75" style="position:absolute;left:0pt;margin-left:-5.15pt;margin-top:0.75pt;height:153.75pt;width:121.05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</w:rPr>
              <w:t>朱信凯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经济与管理学博士，教授、博士生导师，副院长；农业部青年联合会副主席。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4" o:spid="_x0000_s1031" o:spt="75" type="#_x0000_t75" style="position:absolute;left:0pt;margin-left:-5pt;margin-top:-155.9pt;height:147.9pt;width:114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square" side="right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张利庠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管理学博士，教授、博士生导师，副院长，全国十佳企业培训师、策划师，中国人民大学十大教学标兵。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26" o:spt="75" type="#_x0000_t75" style="height:152.25pt;width:114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宋华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人民大学</w:t>
            </w:r>
            <w:r>
              <w:rPr>
                <w:rFonts w:ascii="黑体" w:hAnsi="黑体" w:eastAsia="黑体"/>
                <w:color w:val="333333"/>
                <w:szCs w:val="21"/>
              </w:rPr>
              <w:t>商学院教授、博士研究生导师、副院长。兼任北京现代管理研究会会长、中国管理现代化研究会副秘书长、商务部市场调控专家库专家、南开现代物流研究中心兼职研究员等职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ascii="黑体" w:eastAsia="黑体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_x0000_i1027" o:spt="75" type="#_x0000_t75" style="height:142.5pt;width:111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胡锦光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/>
              </w:rPr>
              <w:t>法学院教授、博士生导师、副院长。兼任中国宪法学研究会副会长、国家统计局法律咨询顾问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9" o:spid="_x0000_s1034" o:spt="75" type="#_x0000_t75" style="position:absolute;left:0pt;margin-left:-5.15pt;margin-top:0.05pt;height:156.8pt;width:115.9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ind w:firstLine="281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毛学峰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经济管理学院，师从辛贤教授，获管理学博士学位。现任中国人民大学农业与农村发展学院副教授、硕士生导师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ascii="黑体" w:hAnsi="Calibri" w:eastAsia="黑体" w:cs="黑体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pict>
                <v:shape id="_x0000_i1028" o:spt="75" type="#_x0000_t75" style="height:145.5pt;width:123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刘刚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333333"/>
                <w:szCs w:val="21"/>
              </w:rPr>
              <w:t>教授、博士生导师、</w:t>
            </w:r>
            <w:r>
              <w:rPr>
                <w:rStyle w:val="14"/>
                <w:rFonts w:hint="eastAsia" w:ascii="黑体" w:hAnsi="黑体" w:eastAsia="黑体"/>
                <w:bCs/>
                <w:color w:val="000000"/>
              </w:rPr>
              <w:t>商学院院长助理</w:t>
            </w:r>
            <w:r>
              <w:rPr>
                <w:rFonts w:ascii="黑体" w:hAnsi="黑体" w:eastAsia="黑体"/>
                <w:color w:val="333333"/>
                <w:szCs w:val="21"/>
              </w:rPr>
              <w:t>。兼任中国企业管理研究会副理事长、中国社会科学院企业社会责任研究中心副理事长、北京现代企业研究会秘书长。</w:t>
            </w:r>
          </w:p>
        </w:tc>
        <w:tc>
          <w:tcPr>
            <w:tcW w:w="2295" w:type="dxa"/>
          </w:tcPr>
          <w:p>
            <w:pPr>
              <w:rPr>
                <w:rFonts w:ascii="黑体" w:hAnsi="Calibri" w:eastAsia="黑体" w:cs="黑体"/>
                <w:szCs w:val="22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_x0000_i1029" o:spt="75" type="#_x0000_t75" style="height:144pt;width:114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ind w:firstLine="281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杨伟国</w:t>
            </w:r>
          </w:p>
          <w:p>
            <w:pPr>
              <w:ind w:firstLine="210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ascii="黑体" w:hAnsi="黑体" w:eastAsia="黑体"/>
                <w:color w:val="333333"/>
                <w:szCs w:val="21"/>
              </w:rPr>
              <w:t>教授、博士生导师</w:t>
            </w:r>
            <w:r>
              <w:rPr>
                <w:rFonts w:hint="eastAsia" w:ascii="黑体" w:hAnsi="Calibri" w:eastAsia="黑体" w:cs="黑体"/>
                <w:szCs w:val="22"/>
              </w:rPr>
              <w:t>中国人民大学劳动人事学院教授。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兼任</w:t>
            </w:r>
            <w:r>
              <w:fldChar w:fldCharType="begin"/>
            </w:r>
            <w:r>
              <w:instrText xml:space="preserve"> HYPERLINK "http://baike.sogou.com/lemma/ShowInnerLink.htm?lemmaId=71844611&amp;ss_c=ssc.citiao.link"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中国人民大学中法学院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院长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"http://baike.sogou.com/lemma/ShowInnerLink.htm?lemmaId=70793402"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中国人民大学劳动人事学院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党委书记、院长助理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"http://baike.sogou.com/lemma/ShowInnerLink.htm?lemmaId=71019008"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中国人民大学中国就业研究所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副所长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、苏州高新区人力资源产业研究所所长。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24"/>
        </w:rPr>
      </w:pP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四、课程设置 </w:t>
      </w:r>
    </w:p>
    <w:p>
      <w:pPr>
        <w:widowControl/>
        <w:spacing w:line="400" w:lineRule="exact"/>
        <w:jc w:val="left"/>
        <w:rPr>
          <w:rFonts w:ascii="Tahoma" w:hAnsi="Tahoma"/>
          <w:b/>
          <w:bCs/>
          <w:color w:val="000000"/>
          <w:kern w:val="0"/>
          <w:sz w:val="24"/>
        </w:rPr>
      </w:pPr>
      <w:r>
        <w:rPr>
          <w:rFonts w:hint="eastAsia" w:ascii="Tahoma" w:hAnsi="Tahoma"/>
          <w:b/>
          <w:bCs/>
          <w:color w:val="000000"/>
          <w:kern w:val="0"/>
          <w:sz w:val="24"/>
        </w:rPr>
        <w:t>企业管理方向：</w:t>
      </w:r>
    </w:p>
    <w:tbl>
      <w:tblPr>
        <w:tblStyle w:val="11"/>
        <w:tblW w:w="8883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587"/>
        <w:gridCol w:w="1134"/>
        <w:gridCol w:w="127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公共课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中国特色社会主义理论与</w:t>
            </w:r>
          </w:p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实践(集中辅导)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/>
                <w:color w:val="0C0C0C"/>
                <w:szCs w:val="21"/>
              </w:rPr>
              <w:t>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基础课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市场营销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专业课</w:t>
            </w: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技术创新经济学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投资项目评价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840" w:rightChars="400" w:firstLine="482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技术经济专题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应用经济研究方法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国情教育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人力资源管理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公司理财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资本运营和战略财务决策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管理经济学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 xml:space="preserve">应用统计学  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高级管理会计</w:t>
            </w:r>
          </w:p>
        </w:tc>
      </w:tr>
    </w:tbl>
    <w:p>
      <w:pPr>
        <w:widowControl/>
        <w:spacing w:line="400" w:lineRule="exact"/>
        <w:jc w:val="left"/>
        <w:rPr>
          <w:rFonts w:ascii="Tahoma" w:hAnsi="Tahoma"/>
          <w:bCs/>
          <w:color w:val="000000"/>
          <w:kern w:val="0"/>
          <w:sz w:val="24"/>
        </w:rPr>
      </w:pPr>
      <w:r>
        <w:rPr>
          <w:rFonts w:hint="eastAsia" w:ascii="Tahoma" w:hAnsi="Tahoma"/>
          <w:bCs/>
          <w:color w:val="000000"/>
          <w:kern w:val="0"/>
          <w:sz w:val="24"/>
        </w:rPr>
        <w:t>注明：课程设置以当年教学计划为标准。</w:t>
      </w:r>
    </w:p>
    <w:p>
      <w:pPr>
        <w:widowControl/>
        <w:spacing w:line="400" w:lineRule="exact"/>
        <w:jc w:val="left"/>
        <w:rPr>
          <w:rFonts w:ascii="Tahoma" w:hAnsi="Tahoma"/>
          <w:b/>
          <w:bCs/>
          <w:color w:val="000000"/>
          <w:kern w:val="0"/>
          <w:sz w:val="24"/>
        </w:rPr>
      </w:pPr>
      <w:r>
        <w:rPr>
          <w:rFonts w:hint="eastAsia" w:ascii="Tahoma" w:hAnsi="Tahoma"/>
          <w:b/>
          <w:bCs/>
          <w:color w:val="000000"/>
          <w:kern w:val="0"/>
          <w:sz w:val="24"/>
        </w:rPr>
        <w:t>项目管理方向：</w:t>
      </w:r>
    </w:p>
    <w:tbl>
      <w:tblPr>
        <w:tblStyle w:val="11"/>
        <w:tblW w:w="8883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587"/>
        <w:gridCol w:w="1134"/>
        <w:gridCol w:w="127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公共课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中国特色社会主义理论与</w:t>
            </w:r>
          </w:p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实践(集中辅导)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/>
                <w:color w:val="0C0C0C"/>
                <w:szCs w:val="21"/>
              </w:rPr>
              <w:t>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基础课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市场营销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专业课</w:t>
            </w: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技术创新经济学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投资项目评价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840" w:rightChars="400" w:firstLine="482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技术经济专题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应用经济研究方法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国情教育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项目招投标与合同管理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项目时间与成本管理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资本运营和战略财务决策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公司理财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 xml:space="preserve">应用统计学  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高级管理会计</w:t>
            </w:r>
          </w:p>
        </w:tc>
      </w:tr>
    </w:tbl>
    <w:p>
      <w:pPr>
        <w:spacing w:line="400" w:lineRule="exact"/>
        <w:rPr>
          <w:rFonts w:ascii="Tahoma" w:hAnsi="Tahoma"/>
          <w:b/>
          <w:bCs/>
          <w:color w:val="000000"/>
          <w:kern w:val="0"/>
          <w:sz w:val="24"/>
        </w:rPr>
      </w:pPr>
      <w:r>
        <w:rPr>
          <w:rFonts w:hint="eastAsia" w:ascii="Tahoma" w:hAnsi="Tahoma"/>
          <w:bCs/>
          <w:color w:val="000000"/>
          <w:kern w:val="0"/>
          <w:sz w:val="24"/>
        </w:rPr>
        <w:t>注明：课程设置以当年教学计划为标准。</w:t>
      </w:r>
    </w:p>
    <w:p>
      <w:pPr>
        <w:spacing w:line="400" w:lineRule="exact"/>
        <w:rPr>
          <w:rFonts w:ascii="Tahoma" w:hAnsi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金融与公共经济管理方向</w:t>
      </w:r>
      <w:r>
        <w:rPr>
          <w:rFonts w:hint="eastAsia" w:ascii="Tahoma" w:hAnsi="Tahoma"/>
          <w:b/>
          <w:bCs/>
          <w:color w:val="000000"/>
          <w:kern w:val="0"/>
          <w:sz w:val="24"/>
        </w:rPr>
        <w:t>：</w:t>
      </w:r>
    </w:p>
    <w:p>
      <w:pPr>
        <w:spacing w:line="400" w:lineRule="exact"/>
        <w:rPr>
          <w:rFonts w:ascii="Tahoma" w:hAnsi="Tahoma"/>
          <w:b/>
          <w:bCs/>
          <w:color w:val="000000"/>
          <w:kern w:val="0"/>
          <w:sz w:val="24"/>
        </w:rPr>
      </w:pPr>
    </w:p>
    <w:tbl>
      <w:tblPr>
        <w:tblStyle w:val="11"/>
        <w:tblW w:w="8883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587"/>
        <w:gridCol w:w="1134"/>
        <w:gridCol w:w="127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公共课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中国特色社会主义理论与</w:t>
            </w:r>
          </w:p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实践(集中辅导)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/>
                <w:color w:val="0C0C0C"/>
                <w:szCs w:val="21"/>
              </w:rPr>
              <w:t>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基础课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市场营销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专业课</w:t>
            </w: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技术创新经济学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投资项目评价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840" w:rightChars="400" w:firstLine="482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技术经济专题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应用经济研究方法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国情教育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金融投资分析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 公共经济学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财务报表分析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公共政策分析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 xml:space="preserve">应用统计学  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高级管理会计</w:t>
            </w:r>
          </w:p>
        </w:tc>
      </w:tr>
    </w:tbl>
    <w:p>
      <w:pPr>
        <w:spacing w:line="400" w:lineRule="exact"/>
        <w:rPr>
          <w:rFonts w:ascii="Tahoma" w:hAnsi="Tahoma"/>
          <w:b/>
          <w:bCs/>
          <w:color w:val="000000"/>
          <w:kern w:val="0"/>
          <w:sz w:val="24"/>
        </w:rPr>
      </w:pPr>
      <w:r>
        <w:rPr>
          <w:rFonts w:hint="eastAsia" w:ascii="Tahoma" w:hAnsi="Tahoma"/>
          <w:bCs/>
          <w:color w:val="000000"/>
          <w:kern w:val="0"/>
          <w:sz w:val="24"/>
        </w:rPr>
        <w:t>注明：课程设置以当年教学计划为标准。</w:t>
      </w:r>
    </w:p>
    <w:p>
      <w:pPr>
        <w:spacing w:line="400" w:lineRule="exact"/>
        <w:rPr>
          <w:rFonts w:ascii="Tahoma" w:hAnsi="Tahoma"/>
          <w:b/>
          <w:kern w:val="0"/>
          <w:sz w:val="24"/>
        </w:rPr>
      </w:pPr>
      <w:r>
        <w:rPr>
          <w:rFonts w:hint="eastAsia" w:ascii="Tahoma" w:hAnsi="Tahoma"/>
          <w:b/>
          <w:kern w:val="0"/>
          <w:sz w:val="24"/>
        </w:rPr>
        <w:t>市场经济与投资分析方向：</w:t>
      </w:r>
    </w:p>
    <w:tbl>
      <w:tblPr>
        <w:tblStyle w:val="11"/>
        <w:tblW w:w="8883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587"/>
        <w:gridCol w:w="1134"/>
        <w:gridCol w:w="127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公共课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中国特色社会主义理论与</w:t>
            </w:r>
          </w:p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实践(集中辅导)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/>
                <w:color w:val="0C0C0C"/>
                <w:szCs w:val="21"/>
              </w:rPr>
              <w:t>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基础课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市场营销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专业课</w:t>
            </w: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技术创新经济学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投资项目评价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840" w:rightChars="400" w:firstLine="482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技术经济专题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应用经济研究方法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0C0C0C"/>
                <w:szCs w:val="21"/>
              </w:rPr>
            </w:pPr>
            <w:r>
              <w:rPr>
                <w:rFonts w:hint="eastAsia"/>
                <w:color w:val="0C0C0C"/>
                <w:szCs w:val="21"/>
              </w:rPr>
              <w:t>国情教育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市场经济学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/>
                <w:color w:val="0C0C0C"/>
                <w:szCs w:val="21"/>
              </w:rPr>
              <w:t>国际投资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/>
                <w:color w:val="0C0C0C"/>
                <w:szCs w:val="21"/>
              </w:rPr>
              <w:t>金融衍生工具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0C0C0C"/>
                <w:sz w:val="24"/>
              </w:rPr>
            </w:pPr>
            <w:r>
              <w:rPr>
                <w:rFonts w:hint="eastAsia" w:ascii="宋体" w:hAnsi="宋体"/>
                <w:b/>
                <w:color w:val="0C0C0C"/>
                <w:sz w:val="24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 xml:space="preserve">应用统计学  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hint="eastAsia" w:ascii="宋体" w:hAnsi="宋体"/>
                <w:color w:val="0C0C0C"/>
                <w:szCs w:val="21"/>
              </w:rPr>
              <w:t>高级管理会计</w:t>
            </w:r>
          </w:p>
        </w:tc>
      </w:tr>
    </w:tbl>
    <w:p>
      <w:pPr>
        <w:spacing w:line="400" w:lineRule="exact"/>
        <w:rPr>
          <w:rFonts w:ascii="Tahoma" w:hAnsi="Tahoma"/>
          <w:b/>
          <w:kern w:val="0"/>
          <w:sz w:val="24"/>
        </w:rPr>
      </w:pPr>
      <w:r>
        <w:rPr>
          <w:rFonts w:hint="eastAsia" w:ascii="Tahoma" w:hAnsi="Tahoma"/>
          <w:bCs/>
          <w:color w:val="000000"/>
          <w:kern w:val="0"/>
          <w:sz w:val="24"/>
        </w:rPr>
        <w:t>注明：课程设置以当年教学计划为标准。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五、报名及入学条件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/>
          <w:szCs w:val="21"/>
        </w:rPr>
        <w:t>　1、坚持四项基本原则，表现良好的业务骨干，身体健康，能坚持在职学习。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/>
          <w:szCs w:val="21"/>
        </w:rPr>
        <w:t>　2、获得学士学位后，工作三年以上（含三年），在申请学位的专业或相近专业作出成绩，有一定的科研成果者优先。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3、不具备上述第2款条件，旨在提高本人业务素质，报名条件可放宽到从事本专业工作三年以上的大专以上学历者，但本种研修生不能申请硕士学位。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六、报名手续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hint="eastAsia" w:ascii="宋体" w:hAnsi="宋体"/>
          <w:szCs w:val="21"/>
        </w:rPr>
        <w:t>1、填写课程研修班报名登记表；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2、本人学士学位证书原件和复印件、身份证复印件及一寸照片6张、两寸照片4张（蓝白底皆可）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3、有论著（包括著作、论文、调查报告）者交复印件；</w:t>
      </w:r>
    </w:p>
    <w:p>
      <w:pPr>
        <w:widowControl/>
        <w:spacing w:line="312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注：交付学校审核的本科毕业证书、学士学位证书、身份证必须真实有效，若因证书不真实造成后果，一切责任由本人自负。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七、联系方式</w:t>
      </w:r>
    </w:p>
    <w:p>
      <w:pPr>
        <w:widowControl/>
        <w:spacing w:line="312" w:lineRule="auto"/>
        <w:jc w:val="left"/>
        <w:rPr>
          <w:rFonts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hAnsi="宋体" w:cs="宋体"/>
          <w:b/>
          <w:bCs/>
          <w:color w:val="FF0000"/>
          <w:kern w:val="0"/>
          <w:sz w:val="24"/>
          <w:szCs w:val="24"/>
        </w:rPr>
        <w:t>课程咨询：王老师、陈老师</w:t>
      </w:r>
      <w:r>
        <w:rPr>
          <w:rFonts w:hint="eastAsia" w:hAnsi="宋体" w:cs="宋体"/>
          <w:b/>
          <w:bCs/>
          <w:color w:val="FF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hAnsi="宋体" w:cs="宋体"/>
          <w:b/>
          <w:bCs/>
          <w:color w:val="FF0000"/>
          <w:kern w:val="0"/>
          <w:sz w:val="24"/>
          <w:szCs w:val="24"/>
        </w:rPr>
        <w:t>电话： 010-59480917</w:t>
      </w:r>
    </w:p>
    <w:p>
      <w:pPr>
        <w:widowControl/>
        <w:spacing w:line="312" w:lineRule="auto"/>
        <w:jc w:val="left"/>
        <w:rPr>
          <w:rFonts w:hAnsi="宋体" w:cs="宋体"/>
          <w:b/>
          <w:bCs/>
          <w:kern w:val="0"/>
          <w:szCs w:val="21"/>
        </w:rPr>
      </w:pPr>
      <w:r>
        <w:rPr>
          <w:rFonts w:hint="eastAsia" w:hAnsi="宋体" w:cs="宋体"/>
          <w:b/>
          <w:bCs/>
          <w:kern w:val="0"/>
          <w:szCs w:val="21"/>
        </w:rPr>
        <w:t>八、</w:t>
      </w:r>
      <w:r>
        <w:rPr>
          <w:rFonts w:hAnsi="宋体" w:cs="宋体"/>
          <w:b/>
          <w:bCs/>
          <w:kern w:val="0"/>
          <w:szCs w:val="21"/>
        </w:rPr>
        <w:t>资格审查及收费标准</w:t>
      </w:r>
    </w:p>
    <w:p>
      <w:pPr>
        <w:widowControl/>
        <w:spacing w:line="312" w:lineRule="auto"/>
        <w:jc w:val="left"/>
        <w:rPr>
          <w:rFonts w:hAnsi="宋体"/>
          <w:szCs w:val="21"/>
        </w:rPr>
      </w:pPr>
      <w:r>
        <w:rPr>
          <w:rFonts w:hAnsi="宋体"/>
          <w:szCs w:val="21"/>
        </w:rPr>
        <w:t>1、由学院进行资格审查，审查通</w:t>
      </w:r>
      <w:bookmarkStart w:id="1" w:name="_GoBack"/>
      <w:bookmarkEnd w:id="1"/>
      <w:r>
        <w:rPr>
          <w:rFonts w:hAnsi="宋体"/>
          <w:szCs w:val="21"/>
        </w:rPr>
        <w:t>过后，发给研修通知书；</w:t>
      </w:r>
      <w:r>
        <w:rPr>
          <w:rFonts w:hAnsi="宋体"/>
          <w:szCs w:val="21"/>
        </w:rPr>
        <w:br w:type="textWrapping"/>
      </w:r>
      <w:r>
        <w:rPr>
          <w:rFonts w:hAnsi="宋体"/>
          <w:szCs w:val="21"/>
        </w:rPr>
        <w:t>2、课程研修班研修费用一次交清</w:t>
      </w:r>
      <w:r>
        <w:rPr>
          <w:rFonts w:hAnsi="宋体"/>
          <w:color w:val="FF0000"/>
          <w:szCs w:val="21"/>
        </w:rPr>
        <w:t>,研修费</w:t>
      </w:r>
      <w:r>
        <w:rPr>
          <w:rFonts w:hAnsi="宋体"/>
          <w:b/>
          <w:bCs/>
          <w:color w:val="FF0000"/>
          <w:szCs w:val="21"/>
        </w:rPr>
        <w:t>2</w:t>
      </w:r>
      <w:r>
        <w:rPr>
          <w:rFonts w:hint="eastAsia" w:hAnsi="宋体"/>
          <w:b/>
          <w:bCs/>
          <w:color w:val="FF0000"/>
          <w:szCs w:val="21"/>
        </w:rPr>
        <w:t>5</w:t>
      </w:r>
      <w:r>
        <w:rPr>
          <w:rFonts w:hAnsi="宋体"/>
          <w:b/>
          <w:bCs/>
          <w:color w:val="FF0000"/>
          <w:szCs w:val="21"/>
        </w:rPr>
        <w:t>800</w:t>
      </w:r>
      <w:r>
        <w:rPr>
          <w:rFonts w:hAnsi="宋体"/>
          <w:color w:val="FF0000"/>
          <w:szCs w:val="21"/>
        </w:rPr>
        <w:t>元，</w:t>
      </w:r>
      <w:r>
        <w:rPr>
          <w:rFonts w:hAnsi="宋体"/>
          <w:szCs w:val="21"/>
        </w:rPr>
        <w:t>正式开班上课后，学员因故不能坚持上课则视作自动放弃学习，不退费用。</w:t>
      </w:r>
      <w:r>
        <w:rPr>
          <w:rFonts w:hAnsi="宋体"/>
          <w:szCs w:val="21"/>
        </w:rPr>
        <w:br w:type="textWrapping"/>
      </w:r>
      <w:r>
        <w:rPr>
          <w:rFonts w:hAnsi="宋体"/>
          <w:szCs w:val="21"/>
        </w:rPr>
        <w:t>3、申请硕士学位按我校有关收费标准缴纳相关费用。</w:t>
      </w:r>
    </w:p>
    <w:p>
      <w:pPr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【交费方式】</w:t>
      </w:r>
    </w:p>
    <w:p>
      <w:pPr>
        <w:widowControl/>
        <w:spacing w:line="312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根据个人情况，可选择以下方式缴费：</w:t>
      </w:r>
    </w:p>
    <w:p>
      <w:pPr>
        <w:widowControl/>
        <w:spacing w:line="312" w:lineRule="auto"/>
        <w:jc w:val="left"/>
        <w:rPr>
          <w:rFonts w:ascii="宋体" w:hAnsi="宋体"/>
          <w:szCs w:val="21"/>
        </w:rPr>
      </w:pPr>
    </w:p>
    <w:tbl>
      <w:tblPr>
        <w:tblStyle w:val="11"/>
        <w:tblpPr w:leftFromText="180" w:rightFromText="180" w:vertAnchor="text" w:horzAnchor="page" w:tblpX="1635" w:tblpY="45"/>
        <w:tblOverlap w:val="never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7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347" w:type="dxa"/>
          </w:tcPr>
          <w:p>
            <w:pPr>
              <w:pStyle w:val="3"/>
              <w:rPr>
                <w:rFonts w:hint="default" w:hAnsi="宋体"/>
                <w:b/>
                <w:color w:val="FF0000"/>
                <w:szCs w:val="21"/>
              </w:rPr>
            </w:pPr>
            <w:r>
              <w:rPr>
                <w:rFonts w:hAnsi="宋体"/>
                <w:b/>
                <w:color w:val="FF0000"/>
                <w:szCs w:val="21"/>
              </w:rPr>
              <w:t>银行汇款</w:t>
            </w:r>
          </w:p>
        </w:tc>
        <w:tc>
          <w:tcPr>
            <w:tcW w:w="3964" w:type="dxa"/>
          </w:tcPr>
          <w:p>
            <w:pPr>
              <w:pStyle w:val="3"/>
              <w:rPr>
                <w:rFonts w:hint="default" w:hAnsi="宋体"/>
                <w:b/>
                <w:color w:val="FF0000"/>
                <w:szCs w:val="21"/>
              </w:rPr>
            </w:pPr>
            <w:r>
              <w:rPr>
                <w:rFonts w:hAnsi="宋体"/>
                <w:b/>
                <w:color w:val="FF0000"/>
                <w:szCs w:val="21"/>
              </w:rPr>
              <w:t>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3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开户行：工商银行北京分行紫竹院分理处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户  名：中国人民大学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帐  号：0200007609026400244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注：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技术经济及管理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17级+姓名</w:t>
            </w:r>
          </w:p>
        </w:tc>
        <w:tc>
          <w:tcPr>
            <w:tcW w:w="396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地点：学校财务处</w:t>
            </w:r>
          </w:p>
          <w:p>
            <w:pPr>
              <w:pStyle w:val="3"/>
              <w:rPr>
                <w:rFonts w:hint="default"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时间：周一至周五 </w:t>
            </w:r>
          </w:p>
          <w:p>
            <w:pPr>
              <w:pStyle w:val="3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上午8：00—11：00下午14：00—16：00</w:t>
            </w:r>
          </w:p>
          <w:p>
            <w:pPr>
              <w:pStyle w:val="3"/>
              <w:rPr>
                <w:rFonts w:hint="default" w:hAnsi="宋体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备注：寒暑假（周二 周五）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九、学习方式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学制：两年，北京学员采取周末授课；外地学员集中授课，可提供网络视频辅助教学。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部分想进行脱产学习的同学可申请统招研课程旁</w:t>
      </w:r>
      <w:r>
        <w:rPr>
          <w:rFonts w:hint="eastAsia" w:ascii="宋体" w:hAnsi="宋体" w:cs="宋体"/>
          <w:kern w:val="0"/>
          <w:sz w:val="24"/>
          <w:szCs w:val="24"/>
        </w:rPr>
        <w:t>听</w:t>
      </w:r>
      <w:r>
        <w:rPr>
          <w:rFonts w:ascii="宋体" w:hAnsi="宋体" w:cs="宋体"/>
          <w:kern w:val="0"/>
          <w:sz w:val="24"/>
          <w:szCs w:val="24"/>
        </w:rPr>
        <w:t xml:space="preserve">！ </w:t>
      </w:r>
    </w:p>
    <w:p>
      <w:pPr>
        <w:spacing w:line="360" w:lineRule="auto"/>
        <w:ind w:left="141" w:hanging="141" w:hangingChars="50"/>
        <w:rPr>
          <w:rFonts w:ascii="仿宋" w:hAnsi="仿宋" w:eastAsia="仿宋"/>
          <w:b/>
          <w:bCs/>
          <w:color w:val="FF0000"/>
          <w:sz w:val="28"/>
          <w:szCs w:val="28"/>
        </w:rPr>
      </w:pPr>
      <w:bookmarkStart w:id="0" w:name="_Toc275933491"/>
    </w:p>
    <w:p>
      <w:pPr>
        <w:spacing w:line="360" w:lineRule="auto"/>
        <w:ind w:left="120" w:hanging="120" w:hangingChar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颁发结业证书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完成研修班规定的学习项目并参加考试合格者，经中国人民大学研究生院审核颁发“技术经济及管理专业课程研修班结业证书”。通过全国统考及论文答辩，颁发管理学硕士学位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注：申请学位说明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一、同等学力申请硕士学位资格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1.获得学士学位满三年后，可申请办理考试资格证。办理考试资格证后，参加我校研究生院组织的四门题库课程考试（题库课考试科目：①管理学原理；②市场营销；③企业战略管理；④中国特色社会主义理论与实践）和国家水平考试（外国语和工商管理综合：管理学原理、市场营销、企业战略管理、财务管理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2.在所学专业有公开发表的科研成果，即在有正式刊号、公开发行的期刊上发表与管理学相关的论文，3000字以上。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二、我校同等学力人员申请硕士学位的步骤：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1.参加研修班学习。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2.获得学士学位满三年的，本人提出申请（6月或10月），提交本科学位证和学历证书原件、《中国人民大学接受同等学力人员申请硕士学位资格登记表》和《科研成果承诺书》，由中国人民大学研究生院资格审核、验证，审核通过，取得《课程考试资格证》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3.在规定的时间里缴纳全部课程考试费（不包括国家水平考试费），（申请硕士学位资格审查费200元、课程考试费每科250元）合计3950.00。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4.在取得课程考试资格证当月起，四年内通过我校组织的所有学位课程考试和国家水平考试。题库课考试每年举行两次（4月和10月），国家水平考试每年5月举行一次。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5.全部考试通过后的一年内提交硕士学位论文，提出论文答辩申请，交纳论文指导、答辩费6500元。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6.在论文提交后半年内进行论文答辩。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7.论文答辩通过后，按规定程序授予技术经济及管理专业硕士学位（管理学）。</w:t>
      </w:r>
    </w:p>
    <w:p>
      <w:pPr>
        <w:pStyle w:val="2"/>
        <w:spacing w:before="0" w:after="0"/>
        <w:jc w:val="right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中国人民大学农业与农村发展学院</w:t>
      </w:r>
      <w:bookmarkEnd w:id="0"/>
    </w:p>
    <w:p>
      <w:pPr>
        <w:rPr>
          <w:rFonts w:hint="eastAsia"/>
          <w:kern w:val="0"/>
          <w:sz w:val="30"/>
          <w:szCs w:val="30"/>
        </w:rPr>
      </w:pPr>
    </w:p>
    <w:p>
      <w:pPr>
        <w:rPr>
          <w:rFonts w:hint="eastAsia"/>
          <w:kern w:val="0"/>
          <w:sz w:val="30"/>
          <w:szCs w:val="30"/>
        </w:rPr>
      </w:pPr>
    </w:p>
    <w:p>
      <w:pPr>
        <w:rPr>
          <w:rFonts w:hint="eastAsia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技术经济及管专业课程研修班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学员报名表 </w:t>
      </w:r>
    </w:p>
    <w:tbl>
      <w:tblPr>
        <w:tblStyle w:val="11"/>
        <w:tblW w:w="852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798"/>
        <w:gridCol w:w="1382"/>
        <w:gridCol w:w="1081"/>
        <w:gridCol w:w="1440"/>
        <w:gridCol w:w="10"/>
        <w:gridCol w:w="14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798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籍贯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政治面貌</w:t>
            </w:r>
          </w:p>
        </w:tc>
        <w:tc>
          <w:tcPr>
            <w:tcW w:w="179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学历</w:t>
            </w:r>
          </w:p>
        </w:tc>
        <w:tc>
          <w:tcPr>
            <w:tcW w:w="1081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学位类别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出生年月</w:t>
            </w:r>
          </w:p>
        </w:tc>
        <w:tc>
          <w:tcPr>
            <w:tcW w:w="179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身份证号</w:t>
            </w:r>
          </w:p>
        </w:tc>
        <w:tc>
          <w:tcPr>
            <w:tcW w:w="396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毕业学校</w:t>
            </w:r>
          </w:p>
        </w:tc>
        <w:tc>
          <w:tcPr>
            <w:tcW w:w="179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毕业时间</w:t>
            </w:r>
          </w:p>
        </w:tc>
        <w:tc>
          <w:tcPr>
            <w:tcW w:w="1081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获得学位时间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工作单位</w:t>
            </w:r>
          </w:p>
        </w:tc>
        <w:tc>
          <w:tcPr>
            <w:tcW w:w="7141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部　门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 　务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邮 　编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办公电话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手　 机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申请学位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ind w:firstLine="420" w:firstLineChars="150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□是       □否</w:t>
            </w:r>
          </w:p>
        </w:tc>
        <w:tc>
          <w:tcPr>
            <w:tcW w:w="14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邮  箱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专业方向</w:t>
            </w:r>
          </w:p>
        </w:tc>
        <w:tc>
          <w:tcPr>
            <w:tcW w:w="7141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技术经济及管理专业    企业管理 □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项目管理 □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金融与公共经济管理 □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市场经济管理与投资分析 □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对课程的期望</w:t>
            </w:r>
          </w:p>
        </w:tc>
        <w:tc>
          <w:tcPr>
            <w:tcW w:w="7141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备注</w:t>
            </w:r>
          </w:p>
        </w:tc>
        <w:tc>
          <w:tcPr>
            <w:tcW w:w="7141" w:type="dxa"/>
            <w:gridSpan w:val="6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sectPr>
      <w:pgSz w:w="11907" w:h="16840"/>
      <w:pgMar w:top="935" w:right="1134" w:bottom="93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F55"/>
    <w:rsid w:val="00064EDE"/>
    <w:rsid w:val="00131D5D"/>
    <w:rsid w:val="001D4C6A"/>
    <w:rsid w:val="001F70E9"/>
    <w:rsid w:val="00226F64"/>
    <w:rsid w:val="0030082B"/>
    <w:rsid w:val="004A52B5"/>
    <w:rsid w:val="004E6EC7"/>
    <w:rsid w:val="00575939"/>
    <w:rsid w:val="00694328"/>
    <w:rsid w:val="00763BFF"/>
    <w:rsid w:val="007C1F55"/>
    <w:rsid w:val="007E7E3F"/>
    <w:rsid w:val="00805023"/>
    <w:rsid w:val="00843A4B"/>
    <w:rsid w:val="008607F6"/>
    <w:rsid w:val="00865565"/>
    <w:rsid w:val="00884EBA"/>
    <w:rsid w:val="00980747"/>
    <w:rsid w:val="0098415C"/>
    <w:rsid w:val="00AE0C6A"/>
    <w:rsid w:val="00AE2559"/>
    <w:rsid w:val="00AF3F4D"/>
    <w:rsid w:val="00B33CBD"/>
    <w:rsid w:val="00B41410"/>
    <w:rsid w:val="00BD1B16"/>
    <w:rsid w:val="00BD2CC2"/>
    <w:rsid w:val="00C94296"/>
    <w:rsid w:val="00CF05C1"/>
    <w:rsid w:val="00D1173C"/>
    <w:rsid w:val="00D51AD0"/>
    <w:rsid w:val="00D67544"/>
    <w:rsid w:val="00DE1EB2"/>
    <w:rsid w:val="00E41064"/>
    <w:rsid w:val="00E75019"/>
    <w:rsid w:val="00F1140F"/>
    <w:rsid w:val="00F32DF3"/>
    <w:rsid w:val="00FA4180"/>
    <w:rsid w:val="00FA494B"/>
    <w:rsid w:val="00FA7FD6"/>
    <w:rsid w:val="00FD16D6"/>
    <w:rsid w:val="02FF7A7B"/>
    <w:rsid w:val="04623E3F"/>
    <w:rsid w:val="063F594E"/>
    <w:rsid w:val="06C62E30"/>
    <w:rsid w:val="07DB0BF3"/>
    <w:rsid w:val="0BF751B0"/>
    <w:rsid w:val="0CCC648D"/>
    <w:rsid w:val="0F044E32"/>
    <w:rsid w:val="10F011E5"/>
    <w:rsid w:val="12951BE1"/>
    <w:rsid w:val="18624E37"/>
    <w:rsid w:val="198C19F9"/>
    <w:rsid w:val="1ABD7B6C"/>
    <w:rsid w:val="1CF728DE"/>
    <w:rsid w:val="1FF45B7B"/>
    <w:rsid w:val="20B8113C"/>
    <w:rsid w:val="2187050F"/>
    <w:rsid w:val="24C13006"/>
    <w:rsid w:val="262B152D"/>
    <w:rsid w:val="28F72945"/>
    <w:rsid w:val="2C55584A"/>
    <w:rsid w:val="2CA71DD1"/>
    <w:rsid w:val="30825925"/>
    <w:rsid w:val="319A1BA6"/>
    <w:rsid w:val="33FE365D"/>
    <w:rsid w:val="35037688"/>
    <w:rsid w:val="35103E87"/>
    <w:rsid w:val="36E47B9D"/>
    <w:rsid w:val="37EA1649"/>
    <w:rsid w:val="3C184C27"/>
    <w:rsid w:val="3DEF24D4"/>
    <w:rsid w:val="41B03F53"/>
    <w:rsid w:val="42E020C7"/>
    <w:rsid w:val="43AD5F98"/>
    <w:rsid w:val="47EA59E8"/>
    <w:rsid w:val="4AC779BE"/>
    <w:rsid w:val="4B5E2A02"/>
    <w:rsid w:val="4C6703AE"/>
    <w:rsid w:val="4CEE4DC5"/>
    <w:rsid w:val="4D2F3555"/>
    <w:rsid w:val="54FE5A7F"/>
    <w:rsid w:val="58620690"/>
    <w:rsid w:val="58BD5526"/>
    <w:rsid w:val="5B204D10"/>
    <w:rsid w:val="5CE16EEF"/>
    <w:rsid w:val="5D1F2257"/>
    <w:rsid w:val="5FB86698"/>
    <w:rsid w:val="5FBC509E"/>
    <w:rsid w:val="61302A02"/>
    <w:rsid w:val="62C25396"/>
    <w:rsid w:val="66100001"/>
    <w:rsid w:val="6B583181"/>
    <w:rsid w:val="6E882EE5"/>
    <w:rsid w:val="6ECB1015"/>
    <w:rsid w:val="6ED829E8"/>
    <w:rsid w:val="70A751E2"/>
    <w:rsid w:val="70FA71EB"/>
    <w:rsid w:val="75427AEF"/>
    <w:rsid w:val="7733029F"/>
    <w:rsid w:val="79782A25"/>
    <w:rsid w:val="7A8F5A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unhideWhenUsed/>
    <w:qFormat/>
    <w:uiPriority w:val="0"/>
    <w:rPr>
      <w:rFonts w:hint="eastAsia" w:ascii="宋体" w:hAnsi="Courier New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lemmatitleh11"/>
    <w:basedOn w:val="8"/>
    <w:qFormat/>
    <w:uiPriority w:val="0"/>
  </w:style>
  <w:style w:type="character" w:customStyle="1" w:styleId="15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635</Words>
  <Characters>3623</Characters>
  <Lines>30</Lines>
  <Paragraphs>8</Paragraphs>
  <ScaleCrop>false</ScaleCrop>
  <LinksUpToDate>false</LinksUpToDate>
  <CharactersWithSpaces>4250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2015-03-30T05:08:00Z</dcterms:created>
  <dc:creator>admin</dc:creator>
  <cp:lastModifiedBy>Administrator</cp:lastModifiedBy>
  <dcterms:modified xsi:type="dcterms:W3CDTF">2017-03-14T07:04:42Z</dcterms:modified>
  <dc:title>        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