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BD1D19" w:sz="6" w:space="0"/>
        </w:pBdr>
        <w:shd w:val="clear" w:color="auto" w:fill="FFFFFF"/>
        <w:jc w:val="center"/>
        <w:outlineLvl w:val="0"/>
        <w:rPr>
          <w:rFonts w:ascii="宋体" w:hAnsi="宋体" w:cs="宋体"/>
          <w:b/>
          <w:bCs/>
          <w:color w:val="333333"/>
          <w:kern w:val="36"/>
          <w:sz w:val="27"/>
        </w:rPr>
      </w:pPr>
      <w:r>
        <w:rPr>
          <w:rFonts w:hint="eastAsia" w:ascii="宋体" w:hAnsi="宋体" w:cs="宋体"/>
          <w:b/>
          <w:bCs/>
          <w:color w:val="333333"/>
          <w:kern w:val="36"/>
          <w:sz w:val="27"/>
        </w:rPr>
        <w:drawing>
          <wp:inline distT="0" distB="0" distL="114300" distR="114300">
            <wp:extent cx="3933825" cy="7715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cstate="print">
                      <a:lum/>
                    </a:blip>
                    <a:srcRect/>
                    <a:stretch>
                      <a:fillRect/>
                    </a:stretch>
                  </pic:blipFill>
                  <pic:spPr>
                    <a:xfrm>
                      <a:off x="0" y="0"/>
                      <a:ext cx="3933825" cy="771525"/>
                    </a:xfrm>
                    <a:prstGeom prst="rect">
                      <a:avLst/>
                    </a:prstGeom>
                    <a:noFill/>
                    <a:ln w="9525">
                      <a:noFill/>
                      <a:miter/>
                    </a:ln>
                  </pic:spPr>
                </pic:pic>
              </a:graphicData>
            </a:graphic>
          </wp:inline>
        </w:drawing>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中国人民大学技术经济及管理专业</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b/>
          <w:bCs/>
          <w:color w:val="333333"/>
          <w:sz w:val="30"/>
          <w:szCs w:val="30"/>
        </w:rPr>
        <w:t>市场营销管理方向</w:t>
      </w:r>
      <w:r>
        <w:rPr>
          <w:rFonts w:hint="eastAsia" w:ascii="黑体" w:hAnsi="黑体" w:eastAsia="黑体" w:cs="宋体"/>
          <w:b/>
          <w:bCs/>
          <w:color w:val="333333"/>
          <w:kern w:val="36"/>
          <w:sz w:val="30"/>
          <w:szCs w:val="30"/>
        </w:rPr>
        <w:t>课程研修班招生简章宁波班</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-----招生简章-----</w:t>
      </w:r>
    </w:p>
    <w:p>
      <w:pPr>
        <w:widowControl/>
        <w:shd w:val="clear" w:color="auto" w:fill="FFFFFF"/>
        <w:spacing w:line="450" w:lineRule="atLeast"/>
        <w:jc w:val="left"/>
        <w:rPr>
          <w:rFonts w:ascii="宋体" w:hAnsi="宋体" w:cs="宋体"/>
          <w:color w:val="333333"/>
          <w:kern w:val="0"/>
          <w:szCs w:val="21"/>
        </w:rPr>
      </w:pPr>
      <w:r>
        <w:rPr>
          <w:rFonts w:hint="eastAsia" w:ascii="宋体" w:hAnsi="宋体" w:cs="宋体"/>
          <w:color w:val="333333"/>
          <w:kern w:val="0"/>
          <w:sz w:val="18"/>
          <w:szCs w:val="18"/>
        </w:rPr>
        <w:br w:type="textWrapping"/>
      </w:r>
      <w:r>
        <w:rPr>
          <w:rFonts w:hint="eastAsia" w:ascii="宋体" w:hAnsi="宋体" w:cs="宋体"/>
          <w:b/>
          <w:bCs/>
          <w:color w:val="FF0000"/>
          <w:kern w:val="0"/>
          <w:szCs w:val="21"/>
        </w:rPr>
        <w:br w:type="textWrapping"/>
      </w:r>
      <w:r>
        <w:rPr>
          <w:rFonts w:hint="eastAsia" w:ascii="宋体" w:hAnsi="宋体" w:cs="宋体"/>
          <w:b/>
          <w:bCs/>
          <w:color w:val="FF0000"/>
          <w:kern w:val="0"/>
          <w:szCs w:val="21"/>
        </w:rPr>
        <w:t>本专业注重高品质、高素质复合型精英人才的培养</w:t>
      </w:r>
      <w:r>
        <w:rPr>
          <w:rFonts w:hint="eastAsia" w:ascii="宋体" w:hAnsi="宋体" w:cs="宋体"/>
          <w:b/>
          <w:bCs/>
          <w:color w:val="FF0000"/>
          <w:kern w:val="0"/>
          <w:szCs w:val="21"/>
        </w:rPr>
        <w:br w:type="textWrapping"/>
      </w:r>
      <w:r>
        <w:rPr>
          <w:rFonts w:hint="eastAsia" w:ascii="宋体" w:hAnsi="宋体" w:cs="宋体"/>
          <w:b/>
          <w:bCs/>
          <w:color w:val="FF0000"/>
          <w:kern w:val="0"/>
          <w:szCs w:val="21"/>
        </w:rPr>
        <w:t>本课程将经济发展和公司企业管理及决策紧密结合</w:t>
      </w:r>
      <w:r>
        <w:rPr>
          <w:rFonts w:hint="eastAsia" w:ascii="宋体" w:hAnsi="宋体" w:cs="宋体"/>
          <w:b/>
          <w:bCs/>
          <w:color w:val="FF0000"/>
          <w:kern w:val="0"/>
          <w:szCs w:val="21"/>
        </w:rPr>
        <w:br w:type="textWrapping"/>
      </w:r>
      <w:r>
        <w:rPr>
          <w:rFonts w:hint="eastAsia" w:ascii="宋体" w:hAnsi="宋体" w:cs="宋体"/>
          <w:b/>
          <w:bCs/>
          <w:color w:val="FF0000"/>
          <w:kern w:val="0"/>
          <w:szCs w:val="21"/>
        </w:rPr>
        <w:t>课程设置注重前沿性和实践操作性</w:t>
      </w:r>
      <w:r>
        <w:rPr>
          <w:rFonts w:hint="eastAsia" w:ascii="宋体" w:hAnsi="宋体" w:cs="宋体"/>
          <w:b/>
          <w:bCs/>
          <w:color w:val="FF0000"/>
          <w:kern w:val="0"/>
          <w:szCs w:val="21"/>
        </w:rPr>
        <w:br w:type="textWrapping"/>
      </w:r>
      <w:r>
        <w:rPr>
          <w:rFonts w:hint="eastAsia" w:ascii="宋体" w:hAnsi="宋体" w:cs="宋体"/>
          <w:b/>
          <w:bCs/>
          <w:color w:val="FF0000"/>
          <w:kern w:val="0"/>
          <w:szCs w:val="21"/>
        </w:rPr>
        <w:t>由我校教授、部委专家、企业高管联合组成超强师资团队</w:t>
      </w:r>
      <w:r>
        <w:rPr>
          <w:rFonts w:hint="eastAsia" w:ascii="宋体" w:hAnsi="宋体" w:cs="宋体"/>
          <w:color w:val="333333"/>
          <w:kern w:val="0"/>
          <w:szCs w:val="21"/>
        </w:rPr>
        <w:br w:type="textWrapping"/>
      </w:r>
      <w:r>
        <w:rPr>
          <w:rFonts w:hint="eastAsia" w:ascii="宋体" w:hAnsi="宋体" w:cs="宋体"/>
          <w:b/>
          <w:bCs/>
          <w:color w:val="333333"/>
          <w:kern w:val="0"/>
          <w:szCs w:val="21"/>
        </w:rPr>
        <w:t>完善的班务管理制度</w:t>
      </w:r>
      <w:r>
        <w:rPr>
          <w:rFonts w:hint="eastAsia" w:ascii="宋体" w:hAnsi="宋体" w:cs="宋体"/>
          <w:color w:val="333333"/>
          <w:kern w:val="0"/>
          <w:szCs w:val="21"/>
        </w:rPr>
        <w:br w:type="textWrapping"/>
      </w:r>
      <w:r>
        <w:rPr>
          <w:rFonts w:hint="eastAsia" w:ascii="宋体" w:hAnsi="宋体" w:cs="宋体"/>
          <w:color w:val="333333"/>
          <w:kern w:val="0"/>
          <w:szCs w:val="21"/>
        </w:rPr>
        <w:t>　　提供专职教务管理团队，构建优质服务、全程教学监督、确保高质量完成学业</w:t>
      </w:r>
      <w:r>
        <w:rPr>
          <w:rFonts w:hint="eastAsia" w:ascii="宋体" w:hAnsi="宋体" w:cs="宋体"/>
          <w:color w:val="333333"/>
          <w:kern w:val="0"/>
          <w:szCs w:val="21"/>
        </w:rPr>
        <w:br w:type="textWrapping"/>
      </w:r>
      <w:r>
        <w:rPr>
          <w:rFonts w:hint="eastAsia" w:ascii="宋体" w:hAnsi="宋体" w:cs="宋体"/>
          <w:b/>
          <w:bCs/>
          <w:color w:val="333333"/>
          <w:kern w:val="0"/>
          <w:szCs w:val="21"/>
        </w:rPr>
        <w:t>全程课程辅导</w:t>
      </w:r>
      <w:r>
        <w:rPr>
          <w:rFonts w:hint="eastAsia" w:ascii="宋体" w:hAnsi="宋体" w:cs="宋体"/>
          <w:color w:val="333333"/>
          <w:kern w:val="0"/>
          <w:szCs w:val="21"/>
        </w:rPr>
        <w:br w:type="textWrapping"/>
      </w:r>
      <w:r>
        <w:rPr>
          <w:rFonts w:hint="eastAsia" w:ascii="宋体" w:hAnsi="宋体" w:cs="宋体"/>
          <w:color w:val="333333"/>
          <w:kern w:val="0"/>
          <w:szCs w:val="21"/>
        </w:rPr>
        <w:t>　　为了帮助学生更好的应对国家同等学力考试，管理类专业会有相关的英语和学科综合考前辅导，从 入学开始由多位优秀师资在英语词汇、阅读、写作等各方面进行专项辅导，以帮助学员的申硕率提高到90%以上。临考前，由相关任课老师对所考的重点、难点知 识点进行串讲，以期帮助学生获得更好的成绩，提高通过率。</w:t>
      </w:r>
    </w:p>
    <w:p>
      <w:pPr>
        <w:widowControl/>
        <w:shd w:val="clear" w:color="auto" w:fill="FFFFFF"/>
        <w:spacing w:line="450" w:lineRule="atLeast"/>
        <w:jc w:val="left"/>
        <w:rPr>
          <w:rFonts w:ascii="宋体" w:hAnsi="宋体" w:cs="宋体"/>
          <w:color w:val="333333"/>
          <w:kern w:val="0"/>
          <w:szCs w:val="21"/>
        </w:rPr>
      </w:pPr>
    </w:p>
    <w:p>
      <w:pPr>
        <w:widowControl/>
        <w:jc w:val="left"/>
        <w:rPr>
          <w:color w:val="333333"/>
          <w:sz w:val="30"/>
          <w:szCs w:val="30"/>
        </w:rPr>
      </w:pPr>
      <w:r>
        <w:rPr>
          <w:rFonts w:hint="eastAsia" w:ascii="宋体" w:hAnsi="宋体" w:cs="宋体"/>
          <w:b/>
          <w:bCs/>
          <w:color w:val="FF0000"/>
          <w:kern w:val="0"/>
          <w:szCs w:val="21"/>
          <w:shd w:val="clear" w:color="auto" w:fill="FFFFFF"/>
        </w:rPr>
        <w:t>丰富的班务活动</w:t>
      </w:r>
      <w:r>
        <w:rPr>
          <w:rFonts w:hint="eastAsia" w:ascii="宋体" w:hAnsi="宋体" w:cs="宋体"/>
          <w:color w:val="000000"/>
          <w:kern w:val="0"/>
          <w:szCs w:val="21"/>
          <w:shd w:val="clear" w:color="auto" w:fill="FFFFFF"/>
        </w:rPr>
        <w:br w:type="textWrapping"/>
      </w:r>
      <w:r>
        <w:rPr>
          <w:rFonts w:hint="eastAsia" w:ascii="宋体" w:hAnsi="宋体" w:cs="宋体"/>
          <w:color w:val="000000"/>
          <w:kern w:val="0"/>
          <w:szCs w:val="21"/>
          <w:shd w:val="clear" w:color="auto" w:fill="FFFFFF"/>
        </w:rPr>
        <w:t>　　定期举办活动交流，不同行业、专业的学员提供多方面的交流与人际拓展平台。</w:t>
      </w:r>
      <w:r>
        <w:rPr>
          <w:rFonts w:hint="eastAsia" w:ascii="宋体" w:hAnsi="宋体" w:cs="宋体"/>
          <w:color w:val="000000"/>
          <w:kern w:val="0"/>
          <w:szCs w:val="21"/>
          <w:shd w:val="clear" w:color="auto" w:fill="FFFFFF"/>
        </w:rPr>
        <w:br w:type="textWrapping"/>
      </w:r>
      <w:r>
        <w:rPr>
          <w:rFonts w:hint="eastAsia" w:ascii="宋体" w:hAnsi="宋体" w:cs="宋体"/>
          <w:color w:val="000000"/>
          <w:kern w:val="0"/>
          <w:szCs w:val="21"/>
          <w:shd w:val="clear" w:color="auto" w:fill="FFFFFF"/>
        </w:rPr>
        <w:t>　　面对社会经济活动中各类型行业的不断进步、不断发展的要求，为适应改革开放和经济发展对高层次专门人才的需要，提高在职人员的业务素质，中国人民大学在宁波举办技术经济及管理专业市场营销管理方向课程研修班。</w:t>
      </w:r>
    </w:p>
    <w:p>
      <w:pPr>
        <w:widowControl/>
        <w:spacing w:line="360" w:lineRule="atLeast"/>
        <w:jc w:val="left"/>
        <w:rPr>
          <w:rFonts w:ascii="宋体" w:hAnsi="宋体" w:cs="宋体"/>
          <w:color w:val="000000"/>
          <w:kern w:val="0"/>
          <w:szCs w:val="21"/>
        </w:rPr>
      </w:pPr>
      <w:r>
        <w:rPr>
          <w:rStyle w:val="10"/>
          <w:rFonts w:hint="eastAsia" w:ascii="宋体" w:hAnsi="宋体" w:cs="宋体"/>
          <w:color w:val="000000"/>
          <w:kern w:val="0"/>
          <w:szCs w:val="21"/>
        </w:rPr>
        <w:t>一、专业介绍</w:t>
      </w:r>
      <w:r>
        <w:rPr>
          <w:rFonts w:hint="eastAsia" w:ascii="宋体" w:hAnsi="宋体" w:cs="宋体"/>
          <w:color w:val="000000"/>
          <w:kern w:val="0"/>
          <w:szCs w:val="21"/>
        </w:rPr>
        <w:br w:type="textWrapping"/>
      </w:r>
      <w:r>
        <w:rPr>
          <w:rFonts w:hint="eastAsia" w:ascii="宋体" w:hAnsi="宋体" w:cs="宋体"/>
          <w:color w:val="000000"/>
          <w:kern w:val="0"/>
          <w:szCs w:val="21"/>
        </w:rPr>
        <w:t>　　中国人民大学管理学专业作为全国重点学科，以其国际化的具有前沿性的教学模式闻名于国内外，经常与国内外著名大学进行教学科研交流。此外，还有多位海内外著名院校的访问学者定期为中国人民大学的学生讲学授课，国内外著名教授前来举办讲座，传播前沿知识。与若干海外院校有合作办学项目，以利于推进国际化进程和国际知名度，借鉴海外合作院校的管理经验，促进院际学术交流。</w:t>
      </w:r>
      <w:r>
        <w:rPr>
          <w:rFonts w:hint="eastAsia" w:ascii="宋体" w:hAnsi="宋体" w:cs="宋体"/>
          <w:color w:val="000000"/>
          <w:kern w:val="0"/>
          <w:szCs w:val="21"/>
        </w:rPr>
        <w:br w:type="textWrapping"/>
      </w:r>
      <w:r>
        <w:rPr>
          <w:rFonts w:hint="eastAsia" w:ascii="宋体" w:hAnsi="宋体" w:cs="宋体"/>
          <w:color w:val="000000"/>
          <w:kern w:val="0"/>
          <w:szCs w:val="21"/>
        </w:rPr>
        <w:t>　　本专业学习要求学员掌握技术经济及管理学专业坚实的基础理论和系统的专业知识，具有独立从事技术经济分析、创新与创业管理、项目管理、合同管理等领域的科学研究、教学工作或担任实际管理工作的能力。</w:t>
      </w:r>
      <w:r>
        <w:rPr>
          <w:rFonts w:hint="eastAsia" w:ascii="宋体" w:hAnsi="宋体" w:cs="宋体"/>
          <w:color w:val="000000"/>
          <w:kern w:val="0"/>
          <w:szCs w:val="21"/>
        </w:rPr>
        <w:br w:type="textWrapping"/>
      </w:r>
      <w:r>
        <w:rPr>
          <w:rStyle w:val="10"/>
          <w:rFonts w:hint="eastAsia" w:ascii="宋体" w:hAnsi="宋体" w:cs="宋体"/>
          <w:color w:val="000000"/>
          <w:kern w:val="0"/>
          <w:szCs w:val="21"/>
        </w:rPr>
        <w:t>二、培养目标</w:t>
      </w:r>
      <w:r>
        <w:rPr>
          <w:rFonts w:hint="eastAsia" w:ascii="宋体" w:hAnsi="宋体" w:cs="宋体"/>
          <w:color w:val="000000"/>
          <w:kern w:val="0"/>
          <w:szCs w:val="21"/>
        </w:rPr>
        <w:br w:type="textWrapping"/>
      </w:r>
      <w:r>
        <w:rPr>
          <w:rFonts w:hint="eastAsia" w:ascii="宋体" w:hAnsi="宋体" w:cs="宋体"/>
          <w:color w:val="000000"/>
          <w:kern w:val="0"/>
          <w:szCs w:val="21"/>
        </w:rPr>
        <w:t>　　培养具有扎实的项目、企业运营管理、管理技术创新、项目管理、经济分析等专长，具有较强的企业管理与经济分析能力的专业人才。</w:t>
      </w:r>
      <w:r>
        <w:rPr>
          <w:rFonts w:hint="eastAsia" w:ascii="宋体" w:hAnsi="宋体" w:cs="宋体"/>
          <w:color w:val="000000"/>
          <w:kern w:val="0"/>
          <w:szCs w:val="21"/>
        </w:rPr>
        <w:br w:type="textWrapping"/>
      </w:r>
      <w:r>
        <w:rPr>
          <w:rFonts w:hint="eastAsia" w:ascii="宋体" w:hAnsi="宋体" w:cs="宋体"/>
          <w:color w:val="000000"/>
          <w:kern w:val="0"/>
          <w:szCs w:val="21"/>
        </w:rPr>
        <w:t>　　培养企事业单位中高层管理人才，战略发展部、企划部、项目管理部、信息管理部、技术创新部的部门经理、项目经理、公司经理等高素质企业经济管理人才。</w:t>
      </w:r>
    </w:p>
    <w:p>
      <w:pPr>
        <w:widowControl/>
        <w:spacing w:line="360" w:lineRule="atLeast"/>
        <w:jc w:val="left"/>
        <w:rPr>
          <w:rFonts w:ascii="宋体" w:hAnsi="宋体" w:cs="宋体"/>
          <w:color w:val="000000"/>
          <w:kern w:val="0"/>
          <w:szCs w:val="21"/>
        </w:rPr>
      </w:pPr>
      <w:r>
        <w:rPr>
          <w:rFonts w:hint="eastAsia" w:ascii="宋体" w:hAnsi="宋体" w:cs="宋体"/>
          <w:b/>
          <w:bCs/>
          <w:color w:val="333333"/>
          <w:kern w:val="0"/>
          <w:szCs w:val="21"/>
        </w:rPr>
        <w:t>三、课程设置</w:t>
      </w:r>
      <w:r>
        <w:rPr>
          <w:rFonts w:hint="eastAsia" w:ascii="宋体" w:hAnsi="宋体" w:cs="宋体"/>
          <w:color w:val="333333"/>
          <w:kern w:val="0"/>
          <w:szCs w:val="21"/>
        </w:rPr>
        <w:br w:type="textWrapping"/>
      </w:r>
      <w:r>
        <w:rPr>
          <w:rFonts w:hint="eastAsia" w:ascii="宋体" w:hAnsi="宋体" w:cs="宋体"/>
          <w:color w:val="333333"/>
          <w:kern w:val="0"/>
          <w:szCs w:val="21"/>
        </w:rPr>
        <w:t>　　按照中国人民大学市场营销管理方向课程研修班的课程基本要求设置。</w:t>
      </w:r>
    </w:p>
    <w:p>
      <w:pPr>
        <w:widowControl/>
        <w:jc w:val="left"/>
        <w:rPr>
          <w:szCs w:val="21"/>
        </w:rPr>
      </w:pPr>
    </w:p>
    <w:tbl>
      <w:tblPr>
        <w:tblStyle w:val="12"/>
        <w:tblW w:w="830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18"/>
        <w:gridCol w:w="2460"/>
        <w:gridCol w:w="1068"/>
        <w:gridCol w:w="1189"/>
        <w:gridCol w:w="16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trPr>
        <w:tc>
          <w:tcPr>
            <w:tcW w:w="1918" w:type="dxa"/>
            <w:shd w:val="clear" w:color="auto" w:fill="auto"/>
            <w:vAlign w:val="center"/>
          </w:tcPr>
          <w:p>
            <w:pPr>
              <w:widowControl/>
              <w:spacing w:line="360" w:lineRule="atLeast"/>
              <w:jc w:val="left"/>
              <w:rPr>
                <w:rFonts w:ascii="宋体" w:hAnsi="宋体" w:cs="宋体"/>
                <w:color w:val="000000"/>
                <w:sz w:val="18"/>
                <w:szCs w:val="18"/>
              </w:rPr>
            </w:pPr>
            <w:r>
              <w:rPr>
                <w:rStyle w:val="10"/>
                <w:rFonts w:hint="eastAsia" w:ascii="宋体" w:hAnsi="宋体" w:cs="宋体"/>
                <w:color w:val="000000"/>
                <w:kern w:val="0"/>
                <w:sz w:val="18"/>
                <w:szCs w:val="18"/>
              </w:rPr>
              <w:t>公共课</w:t>
            </w:r>
          </w:p>
        </w:tc>
        <w:tc>
          <w:tcPr>
            <w:tcW w:w="2460"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中国特色社会主义理论与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实践(集中辅导)</w:t>
            </w:r>
          </w:p>
        </w:tc>
        <w:tc>
          <w:tcPr>
            <w:tcW w:w="22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马克思主义与社会科学方法论</w:t>
            </w:r>
          </w:p>
        </w:tc>
        <w:tc>
          <w:tcPr>
            <w:tcW w:w="1668"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专业英语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blCellSpacing w:w="0" w:type="dxa"/>
        </w:trPr>
        <w:tc>
          <w:tcPr>
            <w:tcW w:w="1918" w:type="dxa"/>
            <w:shd w:val="clear" w:color="auto" w:fill="auto"/>
            <w:vAlign w:val="center"/>
          </w:tcPr>
          <w:p>
            <w:pPr>
              <w:widowControl/>
              <w:spacing w:line="360" w:lineRule="atLeast"/>
              <w:jc w:val="left"/>
              <w:rPr>
                <w:rFonts w:ascii="宋体" w:hAnsi="宋体" w:cs="宋体"/>
                <w:color w:val="000000"/>
                <w:sz w:val="18"/>
                <w:szCs w:val="18"/>
              </w:rPr>
            </w:pPr>
            <w:r>
              <w:rPr>
                <w:rStyle w:val="10"/>
                <w:rFonts w:hint="eastAsia" w:ascii="宋体" w:hAnsi="宋体" w:cs="宋体"/>
                <w:color w:val="000000"/>
                <w:kern w:val="0"/>
                <w:sz w:val="18"/>
                <w:szCs w:val="18"/>
              </w:rPr>
              <w:t>学科基础课</w:t>
            </w:r>
          </w:p>
        </w:tc>
        <w:tc>
          <w:tcPr>
            <w:tcW w:w="2460"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现代管理学</w:t>
            </w:r>
          </w:p>
        </w:tc>
        <w:tc>
          <w:tcPr>
            <w:tcW w:w="22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市场营销</w:t>
            </w:r>
          </w:p>
        </w:tc>
        <w:tc>
          <w:tcPr>
            <w:tcW w:w="1668"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战略管理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1918" w:type="dxa"/>
            <w:vMerge w:val="restart"/>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rPr>
              <w:br w:type="textWrapping"/>
            </w:r>
            <w:r>
              <w:rPr>
                <w:rStyle w:val="10"/>
                <w:rFonts w:hint="eastAsia" w:ascii="宋体" w:hAnsi="宋体" w:cs="宋体"/>
                <w:color w:val="000000"/>
                <w:kern w:val="0"/>
                <w:sz w:val="18"/>
                <w:szCs w:val="18"/>
              </w:rPr>
              <w:t>专业课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w:t>
            </w:r>
          </w:p>
        </w:tc>
        <w:tc>
          <w:tcPr>
            <w:tcW w:w="2460"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发展金融专题</w:t>
            </w:r>
          </w:p>
        </w:tc>
        <w:tc>
          <w:tcPr>
            <w:tcW w:w="22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技术创新经济学</w:t>
            </w:r>
          </w:p>
        </w:tc>
        <w:tc>
          <w:tcPr>
            <w:tcW w:w="1668"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投资项目评价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1918" w:type="dxa"/>
            <w:vMerge w:val="continue"/>
            <w:shd w:val="clear" w:color="auto" w:fill="auto"/>
            <w:vAlign w:val="center"/>
          </w:tcPr>
          <w:p>
            <w:pPr>
              <w:rPr>
                <w:rFonts w:ascii="宋体" w:hAnsi="宋体" w:cs="宋体"/>
                <w:color w:val="000000"/>
                <w:sz w:val="18"/>
                <w:szCs w:val="18"/>
              </w:rPr>
            </w:pPr>
          </w:p>
        </w:tc>
        <w:tc>
          <w:tcPr>
            <w:tcW w:w="2460"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专题讲座</w:t>
            </w:r>
          </w:p>
        </w:tc>
        <w:tc>
          <w:tcPr>
            <w:tcW w:w="22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技术经济专题</w:t>
            </w:r>
          </w:p>
        </w:tc>
        <w:tc>
          <w:tcPr>
            <w:tcW w:w="1668" w:type="dxa"/>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1918" w:type="dxa"/>
            <w:shd w:val="clear" w:color="auto" w:fill="auto"/>
            <w:vAlign w:val="center"/>
          </w:tcPr>
          <w:p>
            <w:pPr>
              <w:widowControl/>
              <w:spacing w:line="360" w:lineRule="atLeast"/>
              <w:jc w:val="left"/>
              <w:rPr>
                <w:rFonts w:ascii="宋体" w:hAnsi="宋体" w:cs="宋体"/>
                <w:color w:val="000000"/>
                <w:sz w:val="18"/>
                <w:szCs w:val="18"/>
              </w:rPr>
            </w:pPr>
            <w:r>
              <w:rPr>
                <w:rStyle w:val="10"/>
                <w:rFonts w:hint="eastAsia" w:ascii="宋体" w:hAnsi="宋体" w:cs="宋体"/>
                <w:color w:val="000000"/>
                <w:kern w:val="0"/>
                <w:sz w:val="18"/>
                <w:szCs w:val="18"/>
              </w:rPr>
              <w:t>方法课</w:t>
            </w:r>
          </w:p>
        </w:tc>
        <w:tc>
          <w:tcPr>
            <w:tcW w:w="3528"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经济与管理研究方法</w:t>
            </w:r>
          </w:p>
        </w:tc>
        <w:tc>
          <w:tcPr>
            <w:tcW w:w="28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应用经济研究方法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tblCellSpacing w:w="0" w:type="dxa"/>
        </w:trPr>
        <w:tc>
          <w:tcPr>
            <w:tcW w:w="1918" w:type="dxa"/>
            <w:vMerge w:val="restart"/>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rPr>
              <w:br w:type="textWrapping"/>
            </w:r>
            <w:r>
              <w:rPr>
                <w:rStyle w:val="10"/>
                <w:rFonts w:hint="eastAsia" w:ascii="宋体" w:hAnsi="宋体" w:cs="宋体"/>
                <w:color w:val="000000"/>
                <w:kern w:val="0"/>
                <w:sz w:val="18"/>
                <w:szCs w:val="18"/>
              </w:rPr>
              <w:t>选修课</w:t>
            </w:r>
          </w:p>
        </w:tc>
        <w:tc>
          <w:tcPr>
            <w:tcW w:w="3528"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供应链管理</w:t>
            </w:r>
          </w:p>
        </w:tc>
        <w:tc>
          <w:tcPr>
            <w:tcW w:w="28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国情教育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trPr>
        <w:tc>
          <w:tcPr>
            <w:tcW w:w="1918" w:type="dxa"/>
            <w:vMerge w:val="continue"/>
            <w:shd w:val="clear" w:color="auto" w:fill="auto"/>
            <w:vAlign w:val="center"/>
          </w:tcPr>
          <w:p>
            <w:pPr>
              <w:rPr>
                <w:rFonts w:ascii="宋体" w:hAnsi="宋体" w:cs="宋体"/>
                <w:color w:val="000000"/>
                <w:sz w:val="18"/>
                <w:szCs w:val="18"/>
              </w:rPr>
            </w:pPr>
          </w:p>
        </w:tc>
        <w:tc>
          <w:tcPr>
            <w:tcW w:w="3528"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客户关系管理</w:t>
            </w:r>
          </w:p>
        </w:tc>
        <w:tc>
          <w:tcPr>
            <w:tcW w:w="28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消费者行为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trPr>
        <w:tc>
          <w:tcPr>
            <w:tcW w:w="1918" w:type="dxa"/>
            <w:vMerge w:val="continue"/>
            <w:shd w:val="clear" w:color="auto" w:fill="auto"/>
            <w:vAlign w:val="center"/>
          </w:tcPr>
          <w:p>
            <w:pPr>
              <w:rPr>
                <w:rFonts w:ascii="宋体" w:hAnsi="宋体" w:cs="宋体"/>
                <w:color w:val="000000"/>
                <w:sz w:val="18"/>
                <w:szCs w:val="18"/>
              </w:rPr>
            </w:pPr>
          </w:p>
        </w:tc>
        <w:tc>
          <w:tcPr>
            <w:tcW w:w="3528"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资本运营和战略财务决策</w:t>
            </w:r>
          </w:p>
        </w:tc>
        <w:tc>
          <w:tcPr>
            <w:tcW w:w="28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管理经济学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5" w:hRule="atLeast"/>
          <w:tblCellSpacing w:w="0" w:type="dxa"/>
        </w:trPr>
        <w:tc>
          <w:tcPr>
            <w:tcW w:w="1918" w:type="dxa"/>
            <w:shd w:val="clear" w:color="auto" w:fill="auto"/>
            <w:vAlign w:val="center"/>
          </w:tcPr>
          <w:p>
            <w:pPr>
              <w:widowControl/>
              <w:spacing w:line="360" w:lineRule="atLeast"/>
              <w:jc w:val="left"/>
              <w:rPr>
                <w:rFonts w:ascii="宋体" w:hAnsi="宋体" w:cs="宋体"/>
                <w:color w:val="000000"/>
                <w:sz w:val="18"/>
                <w:szCs w:val="18"/>
              </w:rPr>
            </w:pPr>
            <w:r>
              <w:rPr>
                <w:rStyle w:val="10"/>
                <w:rFonts w:hint="eastAsia" w:ascii="宋体" w:hAnsi="宋体" w:cs="宋体"/>
                <w:color w:val="000000"/>
                <w:kern w:val="0"/>
                <w:sz w:val="18"/>
                <w:szCs w:val="18"/>
              </w:rPr>
              <w:t>跨专业生补修课</w:t>
            </w:r>
          </w:p>
        </w:tc>
        <w:tc>
          <w:tcPr>
            <w:tcW w:w="3528"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应用统计学 </w:t>
            </w:r>
          </w:p>
        </w:tc>
        <w:tc>
          <w:tcPr>
            <w:tcW w:w="2857" w:type="dxa"/>
            <w:gridSpan w:val="2"/>
            <w:shd w:val="clear" w:color="auto" w:fill="auto"/>
            <w:vAlign w:val="center"/>
          </w:tcPr>
          <w:p>
            <w:pPr>
              <w:widowControl/>
              <w:spacing w:line="360" w:lineRule="atLeast"/>
              <w:jc w:val="left"/>
              <w:rPr>
                <w:rFonts w:ascii="宋体" w:hAnsi="宋体" w:cs="宋体"/>
                <w:color w:val="000000"/>
                <w:sz w:val="18"/>
                <w:szCs w:val="18"/>
              </w:rPr>
            </w:pPr>
            <w:r>
              <w:rPr>
                <w:rFonts w:hint="eastAsia" w:ascii="宋体" w:hAnsi="宋体" w:cs="宋体"/>
                <w:color w:val="000000"/>
                <w:kern w:val="0"/>
                <w:sz w:val="18"/>
                <w:szCs w:val="18"/>
              </w:rPr>
              <w:t>高级管理会计</w:t>
            </w:r>
          </w:p>
        </w:tc>
      </w:tr>
    </w:tbl>
    <w:p>
      <w:pPr>
        <w:widowControl/>
        <w:jc w:val="left"/>
      </w:pPr>
    </w:p>
    <w:p>
      <w:pPr>
        <w:widowControl/>
        <w:shd w:val="clear" w:color="auto" w:fill="FFFFFF"/>
        <w:spacing w:line="450" w:lineRule="atLeast"/>
        <w:ind w:firstLine="211" w:firstLineChars="100"/>
        <w:jc w:val="left"/>
        <w:rPr>
          <w:rFonts w:hint="eastAsia" w:ascii="宋体" w:hAnsi="宋体" w:cs="宋体"/>
          <w:b/>
          <w:bCs/>
          <w:color w:val="FF0000"/>
          <w:kern w:val="0"/>
          <w:szCs w:val="21"/>
        </w:rPr>
      </w:pPr>
      <w:r>
        <w:rPr>
          <w:rFonts w:hint="eastAsia" w:ascii="宋体" w:hAnsi="宋体" w:cs="宋体"/>
          <w:b/>
          <w:bCs/>
          <w:color w:val="333333"/>
          <w:kern w:val="0"/>
          <w:szCs w:val="21"/>
        </w:rPr>
        <w:t>四、报名及入学条件</w:t>
      </w:r>
      <w:r>
        <w:rPr>
          <w:rFonts w:hint="eastAsia" w:ascii="宋体" w:hAnsi="宋体" w:cs="宋体"/>
          <w:color w:val="333333"/>
          <w:kern w:val="0"/>
          <w:szCs w:val="21"/>
        </w:rPr>
        <w:br w:type="textWrapping"/>
      </w:r>
      <w:r>
        <w:rPr>
          <w:rFonts w:hint="eastAsia" w:ascii="宋体" w:hAnsi="宋体" w:cs="宋体"/>
          <w:color w:val="333333"/>
          <w:kern w:val="0"/>
          <w:szCs w:val="21"/>
        </w:rPr>
        <w:t>　　1、坚持四项基本原则，表现良好的业务骨干，身体健康，能坚持在职学习。</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2、获得学士学位后，工作三年以上（含三年），在申请学位的专业或相近专业作出成绩，有一定的科研成果者优先。</w:t>
      </w:r>
      <w:r>
        <w:rPr>
          <w:rFonts w:hint="eastAsia" w:ascii="宋体" w:hAnsi="宋体" w:cs="宋体"/>
          <w:color w:val="333333"/>
          <w:kern w:val="0"/>
          <w:szCs w:val="21"/>
        </w:rPr>
        <w:br w:type="textWrapping"/>
      </w:r>
      <w:r>
        <w:rPr>
          <w:rFonts w:hint="eastAsia" w:ascii="宋体" w:hAnsi="宋体" w:cs="宋体"/>
          <w:color w:val="333333"/>
          <w:kern w:val="0"/>
          <w:szCs w:val="21"/>
        </w:rPr>
        <w:t>　　3、不具备上述第2款条件，旨在提高本人业务素质，报名条件可放宽到从事本专业工作三年以上的大专以上学历者，但本种研修生不能申请硕士学位。</w:t>
      </w:r>
      <w:r>
        <w:rPr>
          <w:rFonts w:hint="eastAsia" w:ascii="宋体" w:hAnsi="宋体" w:cs="宋体"/>
          <w:color w:val="333333"/>
          <w:kern w:val="0"/>
          <w:szCs w:val="21"/>
        </w:rPr>
        <w:br w:type="textWrapping"/>
      </w:r>
      <w:r>
        <w:rPr>
          <w:rFonts w:hint="eastAsia" w:ascii="宋体" w:hAnsi="宋体" w:cs="宋体"/>
          <w:color w:val="333333"/>
          <w:kern w:val="0"/>
          <w:szCs w:val="21"/>
        </w:rPr>
        <w:t>五</w:t>
      </w:r>
      <w:r>
        <w:rPr>
          <w:rFonts w:hint="eastAsia" w:ascii="宋体" w:hAnsi="宋体" w:cs="宋体"/>
          <w:b/>
          <w:bCs/>
          <w:color w:val="333333"/>
          <w:kern w:val="0"/>
          <w:szCs w:val="21"/>
        </w:rPr>
        <w:t>、报名手续</w:t>
      </w:r>
      <w:r>
        <w:rPr>
          <w:rFonts w:hint="eastAsia" w:ascii="宋体" w:hAnsi="宋体" w:cs="宋体"/>
          <w:color w:val="333333"/>
          <w:kern w:val="0"/>
          <w:szCs w:val="21"/>
        </w:rPr>
        <w:br w:type="textWrapping"/>
      </w:r>
      <w:r>
        <w:rPr>
          <w:rFonts w:hint="eastAsia" w:ascii="宋体" w:hAnsi="宋体" w:cs="宋体"/>
          <w:color w:val="333333"/>
          <w:kern w:val="0"/>
          <w:szCs w:val="21"/>
        </w:rPr>
        <w:t>　　1、填写课程研修班报名登记表；</w:t>
      </w:r>
      <w:r>
        <w:rPr>
          <w:rFonts w:hint="eastAsia" w:ascii="宋体" w:hAnsi="宋体" w:cs="宋体"/>
          <w:color w:val="333333"/>
          <w:kern w:val="0"/>
          <w:szCs w:val="21"/>
        </w:rPr>
        <w:br w:type="textWrapping"/>
      </w:r>
      <w:r>
        <w:rPr>
          <w:rFonts w:hint="eastAsia" w:ascii="宋体" w:hAnsi="宋体" w:cs="宋体"/>
          <w:color w:val="333333"/>
          <w:kern w:val="0"/>
          <w:szCs w:val="21"/>
        </w:rPr>
        <w:t>　　2、</w:t>
      </w:r>
      <w:r>
        <w:rPr>
          <w:rFonts w:ascii="宋体" w:hAnsi="宋体" w:cs="宋体"/>
          <w:color w:val="000000"/>
          <w:szCs w:val="21"/>
        </w:rPr>
        <w:t>本人学士学位证书原件和复印件、身份证复印件及一寸照片6张、两寸照片4张</w:t>
      </w:r>
      <w:r>
        <w:rPr>
          <w:rFonts w:hint="eastAsia" w:ascii="宋体" w:hAnsi="宋体" w:cs="宋体"/>
          <w:color w:val="000000"/>
          <w:szCs w:val="21"/>
        </w:rPr>
        <w:t>；</w:t>
      </w:r>
      <w:r>
        <w:rPr>
          <w:rFonts w:hint="eastAsia" w:ascii="宋体" w:hAnsi="宋体" w:cs="宋体"/>
          <w:color w:val="333333"/>
          <w:kern w:val="0"/>
          <w:szCs w:val="21"/>
        </w:rPr>
        <w:br w:type="textWrapping"/>
      </w:r>
      <w:r>
        <w:rPr>
          <w:rFonts w:hint="eastAsia" w:ascii="宋体" w:hAnsi="宋体" w:cs="宋体"/>
          <w:color w:val="333333"/>
          <w:kern w:val="0"/>
          <w:szCs w:val="21"/>
        </w:rPr>
        <w:t>　　3、有论著（包括著作、论文、调查报告）者交复印件；</w:t>
      </w:r>
      <w:r>
        <w:rPr>
          <w:rFonts w:hint="eastAsia" w:ascii="宋体" w:hAnsi="宋体" w:cs="宋体"/>
          <w:color w:val="333333"/>
          <w:kern w:val="0"/>
          <w:szCs w:val="21"/>
        </w:rPr>
        <w:br w:type="textWrapping"/>
      </w:r>
      <w:r>
        <w:rPr>
          <w:rFonts w:hint="eastAsia" w:ascii="宋体" w:hAnsi="宋体" w:cs="宋体"/>
          <w:color w:val="333333"/>
          <w:kern w:val="0"/>
          <w:szCs w:val="21"/>
        </w:rPr>
        <w:t>六</w:t>
      </w:r>
      <w:r>
        <w:rPr>
          <w:rFonts w:hint="eastAsia" w:ascii="宋体" w:hAnsi="宋体" w:cs="宋体"/>
          <w:b/>
          <w:bCs/>
          <w:color w:val="333333"/>
          <w:kern w:val="0"/>
          <w:szCs w:val="21"/>
        </w:rPr>
        <w:t>、联系方式：</w:t>
      </w:r>
      <w:r>
        <w:rPr>
          <w:rFonts w:hint="eastAsia" w:ascii="宋体" w:hAnsi="宋体" w:cs="宋体"/>
          <w:b/>
          <w:bCs/>
          <w:color w:val="333333"/>
          <w:kern w:val="0"/>
          <w:szCs w:val="21"/>
        </w:rPr>
        <w:br w:type="textWrapping"/>
      </w:r>
      <w:r>
        <w:rPr>
          <w:rFonts w:hint="eastAsia" w:ascii="宋体" w:hAnsi="宋体" w:cs="宋体"/>
          <w:b/>
          <w:bCs/>
          <w:color w:val="333333"/>
          <w:kern w:val="0"/>
          <w:szCs w:val="21"/>
        </w:rPr>
        <w:t>　　</w:t>
      </w:r>
      <w:r>
        <w:rPr>
          <w:rFonts w:hint="eastAsia" w:ascii="宋体" w:hAnsi="宋体" w:cs="宋体"/>
          <w:b/>
          <w:bCs/>
          <w:color w:val="FF0000"/>
          <w:kern w:val="0"/>
          <w:szCs w:val="21"/>
        </w:rPr>
        <w:t>课程咨询：王</w:t>
      </w:r>
      <w:bookmarkStart w:id="0" w:name="_GoBack"/>
      <w:bookmarkEnd w:id="0"/>
      <w:r>
        <w:rPr>
          <w:rFonts w:hint="eastAsia" w:ascii="宋体" w:hAnsi="宋体" w:cs="宋体"/>
          <w:b/>
          <w:bCs/>
          <w:color w:val="FF0000"/>
          <w:kern w:val="0"/>
          <w:szCs w:val="21"/>
        </w:rPr>
        <w:t>老师、陈老师</w:t>
      </w:r>
    </w:p>
    <w:p>
      <w:pPr>
        <w:widowControl/>
        <w:shd w:val="clear" w:color="auto" w:fill="FFFFFF"/>
        <w:spacing w:line="450" w:lineRule="atLeast"/>
        <w:ind w:firstLine="211" w:firstLineChars="100"/>
        <w:jc w:val="left"/>
        <w:rPr>
          <w:rFonts w:hint="eastAsia" w:ascii="宋体" w:hAnsi="宋体" w:cs="宋体"/>
          <w:b/>
          <w:bCs/>
          <w:color w:val="FF0000"/>
          <w:kern w:val="0"/>
          <w:szCs w:val="21"/>
        </w:rPr>
      </w:pPr>
      <w:r>
        <w:rPr>
          <w:rFonts w:hint="eastAsia" w:ascii="宋体" w:hAnsi="宋体" w:cs="宋体"/>
          <w:b/>
          <w:bCs/>
          <w:color w:val="FF0000"/>
          <w:kern w:val="0"/>
          <w:szCs w:val="21"/>
        </w:rPr>
        <w:t>电话： 010-59480917</w:t>
      </w:r>
    </w:p>
    <w:p>
      <w:pPr>
        <w:widowControl/>
        <w:shd w:val="clear" w:color="auto" w:fill="FFFFFF"/>
        <w:spacing w:line="450" w:lineRule="atLeast"/>
        <w:ind w:firstLine="422" w:firstLineChars="200"/>
        <w:jc w:val="left"/>
        <w:rPr>
          <w:rFonts w:ascii="宋体" w:hAnsi="宋体" w:cs="宋体"/>
          <w:color w:val="333333"/>
          <w:kern w:val="0"/>
          <w:szCs w:val="21"/>
        </w:rPr>
      </w:pPr>
      <w:r>
        <w:rPr>
          <w:rFonts w:hint="eastAsia" w:ascii="宋体" w:hAnsi="宋体" w:cs="宋体"/>
          <w:b/>
          <w:bCs/>
          <w:color w:val="333333"/>
          <w:kern w:val="0"/>
          <w:szCs w:val="21"/>
        </w:rPr>
        <w:t>六、资格审查及收费标准</w:t>
      </w:r>
      <w:r>
        <w:rPr>
          <w:rFonts w:hint="eastAsia" w:ascii="宋体" w:hAnsi="宋体" w:cs="宋体"/>
          <w:color w:val="333333"/>
          <w:kern w:val="0"/>
          <w:szCs w:val="21"/>
        </w:rPr>
        <w:br w:type="textWrapping"/>
      </w:r>
      <w:r>
        <w:rPr>
          <w:rFonts w:hint="eastAsia" w:ascii="宋体" w:hAnsi="宋体" w:cs="宋体"/>
          <w:color w:val="333333"/>
          <w:kern w:val="0"/>
          <w:szCs w:val="21"/>
        </w:rPr>
        <w:t>　　1、由中国人民大学研究生院，进行资格审查，审查通过后，发给研修通知书；</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kern w:val="0"/>
          <w:szCs w:val="21"/>
        </w:rPr>
        <w:t>2、课程研修班费用一次交清,研修费25800元,汇款至中国人民大学，</w:t>
      </w:r>
      <w:r>
        <w:rPr>
          <w:rFonts w:hint="eastAsia"/>
        </w:rPr>
        <w:t>入学时需交学杂费（包含教材资料费、考前辅导费、教务管理费、部分班级活动费用等）</w:t>
      </w:r>
      <w:r>
        <w:rPr>
          <w:rFonts w:hint="eastAsia" w:ascii="宋体" w:hAnsi="宋体" w:cs="宋体"/>
          <w:kern w:val="0"/>
          <w:szCs w:val="21"/>
        </w:rPr>
        <w:t>，平时的辅导视频后台是赠送的。正式开班上课后，学员因故不能坚持上课则视作自动放弃学习，不退费用。</w:t>
      </w:r>
      <w:r>
        <w:rPr>
          <w:rFonts w:hint="eastAsia" w:ascii="宋体" w:hAnsi="宋体" w:cs="宋体"/>
          <w:color w:val="333333"/>
          <w:kern w:val="0"/>
          <w:szCs w:val="21"/>
        </w:rPr>
        <w:br w:type="textWrapping"/>
      </w:r>
      <w:r>
        <w:rPr>
          <w:rFonts w:hint="eastAsia" w:ascii="宋体" w:hAnsi="宋体" w:cs="宋体"/>
          <w:color w:val="333333"/>
          <w:kern w:val="0"/>
          <w:szCs w:val="21"/>
        </w:rPr>
        <w:t xml:space="preserve">    3、申请硕士学位按我校有关收费标准缴纳相关费用。　</w:t>
      </w:r>
      <w:r>
        <w:rPr>
          <w:rFonts w:hint="eastAsia" w:ascii="宋体" w:hAnsi="宋体" w:cs="宋体"/>
          <w:b/>
          <w:bCs/>
          <w:color w:val="333333"/>
          <w:kern w:val="0"/>
          <w:szCs w:val="21"/>
        </w:rPr>
        <w:t>　</w:t>
      </w:r>
    </w:p>
    <w:p>
      <w:pPr>
        <w:widowControl/>
        <w:shd w:val="clear" w:color="auto" w:fill="FFFFFF"/>
        <w:spacing w:line="450" w:lineRule="atLeast"/>
        <w:jc w:val="left"/>
        <w:rPr>
          <w:rFonts w:ascii="宋体" w:hAnsi="宋体" w:cs="宋体"/>
          <w:b/>
          <w:bCs/>
          <w:color w:val="333333"/>
          <w:kern w:val="0"/>
          <w:szCs w:val="21"/>
        </w:rPr>
      </w:pPr>
      <w:r>
        <w:rPr>
          <w:rFonts w:hint="eastAsia" w:ascii="宋体" w:hAnsi="宋体" w:cs="宋体"/>
          <w:b/>
          <w:bCs/>
          <w:color w:val="333333"/>
          <w:kern w:val="0"/>
          <w:szCs w:val="21"/>
        </w:rPr>
        <w:t>七、交费方式</w:t>
      </w:r>
    </w:p>
    <w:tbl>
      <w:tblPr>
        <w:tblStyle w:val="12"/>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347" w:type="dxa"/>
          </w:tcPr>
          <w:p>
            <w:pPr>
              <w:pStyle w:val="4"/>
              <w:rPr>
                <w:rFonts w:hint="default" w:hAnsi="宋体"/>
                <w:b/>
                <w:szCs w:val="21"/>
              </w:rPr>
            </w:pPr>
            <w:r>
              <w:rPr>
                <w:rFonts w:hAnsi="宋体"/>
                <w:b/>
                <w:szCs w:val="21"/>
              </w:rPr>
              <w:t>银行汇款</w:t>
            </w:r>
          </w:p>
        </w:tc>
        <w:tc>
          <w:tcPr>
            <w:tcW w:w="3964" w:type="dxa"/>
          </w:tcPr>
          <w:p>
            <w:pPr>
              <w:pStyle w:val="4"/>
              <w:rPr>
                <w:rFonts w:hint="default" w:hAnsi="宋体"/>
                <w:b/>
                <w:szCs w:val="21"/>
              </w:rPr>
            </w:pPr>
            <w:r>
              <w:rPr>
                <w:rFonts w:hAnsi="宋体"/>
                <w:b/>
                <w:szCs w:val="21"/>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347" w:type="dxa"/>
          </w:tcPr>
          <w:p>
            <w:pPr>
              <w:rPr>
                <w:rFonts w:ascii="宋体" w:hAnsi="宋体"/>
                <w:szCs w:val="21"/>
              </w:rPr>
            </w:pPr>
            <w:r>
              <w:rPr>
                <w:rFonts w:hint="eastAsia" w:ascii="宋体" w:hAnsi="宋体"/>
                <w:szCs w:val="21"/>
              </w:rPr>
              <w:t xml:space="preserve">开户行：工商银行北京分行紫竹院支行 </w:t>
            </w:r>
          </w:p>
          <w:p>
            <w:pPr>
              <w:rPr>
                <w:rFonts w:ascii="宋体" w:hAnsi="宋体"/>
                <w:szCs w:val="21"/>
              </w:rPr>
            </w:pPr>
            <w:r>
              <w:rPr>
                <w:rFonts w:hint="eastAsia" w:ascii="宋体" w:hAnsi="宋体"/>
                <w:szCs w:val="21"/>
              </w:rPr>
              <w:t xml:space="preserve">户  名：中国人民大学                        </w:t>
            </w:r>
          </w:p>
          <w:p>
            <w:pPr>
              <w:rPr>
                <w:rFonts w:ascii="宋体" w:hAnsi="宋体"/>
                <w:szCs w:val="21"/>
              </w:rPr>
            </w:pPr>
            <w:r>
              <w:rPr>
                <w:rFonts w:hint="eastAsia" w:ascii="宋体" w:hAnsi="宋体"/>
                <w:szCs w:val="21"/>
              </w:rPr>
              <w:t xml:space="preserve">帐  号：0200007609026400244  </w:t>
            </w:r>
          </w:p>
          <w:p>
            <w:pPr>
              <w:rPr>
                <w:rFonts w:ascii="宋体" w:hAnsi="宋体"/>
                <w:szCs w:val="21"/>
              </w:rPr>
            </w:pPr>
            <w:r>
              <w:rPr>
                <w:rFonts w:hint="eastAsia" w:ascii="宋体" w:hAnsi="宋体"/>
                <w:szCs w:val="21"/>
              </w:rPr>
              <w:t>备  注：</w:t>
            </w:r>
            <w:r>
              <w:rPr>
                <w:rFonts w:ascii="Arial" w:hAnsi="Arial" w:cs="Arial"/>
                <w:color w:val="000000"/>
                <w:szCs w:val="21"/>
                <w:shd w:val="clear" w:color="auto" w:fill="FFFFFF"/>
              </w:rPr>
              <w:t>技术经济及管理</w:t>
            </w:r>
            <w:r>
              <w:rPr>
                <w:rFonts w:hint="eastAsia"/>
                <w:color w:val="000000"/>
                <w:szCs w:val="21"/>
                <w:shd w:val="clear" w:color="auto" w:fill="FFFFFF"/>
              </w:rPr>
              <w:t>17级+姓名</w:t>
            </w:r>
          </w:p>
        </w:tc>
        <w:tc>
          <w:tcPr>
            <w:tcW w:w="3964" w:type="dxa"/>
          </w:tcPr>
          <w:p>
            <w:pPr>
              <w:rPr>
                <w:rFonts w:ascii="宋体" w:hAnsi="宋体"/>
                <w:szCs w:val="21"/>
              </w:rPr>
            </w:pPr>
            <w:r>
              <w:rPr>
                <w:rFonts w:hint="eastAsia" w:ascii="宋体" w:hAnsi="宋体"/>
                <w:szCs w:val="21"/>
              </w:rPr>
              <w:t>地点：学校财务处</w:t>
            </w:r>
          </w:p>
          <w:p>
            <w:pPr>
              <w:pStyle w:val="4"/>
              <w:rPr>
                <w:rFonts w:hint="default" w:hAnsi="宋体"/>
                <w:szCs w:val="21"/>
              </w:rPr>
            </w:pPr>
            <w:r>
              <w:rPr>
                <w:rFonts w:hAnsi="宋体"/>
                <w:szCs w:val="21"/>
              </w:rPr>
              <w:t>时间：周一至周五（除周三下午）</w:t>
            </w:r>
          </w:p>
          <w:p>
            <w:pPr>
              <w:pStyle w:val="4"/>
              <w:rPr>
                <w:rFonts w:hint="default" w:hAnsi="宋体"/>
                <w:szCs w:val="21"/>
              </w:rPr>
            </w:pPr>
            <w:r>
              <w:rPr>
                <w:rFonts w:hAnsi="宋体"/>
                <w:szCs w:val="21"/>
              </w:rPr>
              <w:t>上午8：00—11：00下午14：00—16：00</w:t>
            </w:r>
          </w:p>
          <w:p>
            <w:pPr>
              <w:pStyle w:val="4"/>
              <w:rPr>
                <w:rFonts w:hint="default" w:hAnsi="宋体"/>
                <w:szCs w:val="21"/>
              </w:rPr>
            </w:pPr>
            <w:r>
              <w:rPr>
                <w:rFonts w:hAnsi="宋体"/>
                <w:szCs w:val="21"/>
              </w:rPr>
              <w:t>备注：寒暑假（周二 周五）</w:t>
            </w:r>
          </w:p>
        </w:tc>
      </w:tr>
    </w:tbl>
    <w:p>
      <w:pPr>
        <w:widowControl/>
        <w:shd w:val="clear" w:color="auto" w:fill="FFFFFF"/>
        <w:spacing w:line="450" w:lineRule="atLeast"/>
        <w:ind w:firstLine="420" w:firstLineChars="200"/>
        <w:jc w:val="left"/>
        <w:rPr>
          <w:rFonts w:ascii="宋体" w:hAnsi="宋体" w:cs="宋体"/>
          <w:color w:val="333333"/>
          <w:kern w:val="0"/>
          <w:szCs w:val="21"/>
        </w:rPr>
      </w:pPr>
      <w:r>
        <w:rPr>
          <w:rFonts w:hint="eastAsia" w:ascii="宋体" w:hAnsi="宋体" w:cs="宋体"/>
          <w:kern w:val="0"/>
          <w:szCs w:val="21"/>
        </w:rPr>
        <w:t>班级学员，将免费学习英语网络基础班课程，申请硕士学位的学员，我们将提供五月联考的英语和综合辅导，详细内容请咨询老师。</w:t>
      </w:r>
      <w:r>
        <w:rPr>
          <w:rFonts w:hint="eastAsia" w:ascii="宋体" w:hAnsi="宋体" w:cs="宋体"/>
          <w:color w:val="333333"/>
          <w:kern w:val="0"/>
          <w:szCs w:val="21"/>
        </w:rPr>
        <w:br w:type="textWrapping"/>
      </w:r>
      <w:r>
        <w:rPr>
          <w:rFonts w:hint="eastAsia" w:ascii="宋体" w:hAnsi="宋体" w:cs="宋体"/>
          <w:b/>
          <w:bCs/>
          <w:color w:val="333333"/>
          <w:kern w:val="0"/>
          <w:szCs w:val="21"/>
        </w:rPr>
        <w:t>八、</w:t>
      </w:r>
      <w:r>
        <w:rPr>
          <w:rFonts w:hint="eastAsia" w:ascii="宋体" w:hAnsi="宋体" w:cs="宋体"/>
          <w:b/>
          <w:bCs/>
          <w:kern w:val="0"/>
          <w:szCs w:val="21"/>
        </w:rPr>
        <w:t>研修时间：两年</w:t>
      </w:r>
      <w:r>
        <w:rPr>
          <w:rFonts w:hint="eastAsia" w:ascii="宋体" w:hAnsi="宋体" w:cs="宋体"/>
          <w:color w:val="333333"/>
          <w:kern w:val="0"/>
          <w:szCs w:val="21"/>
        </w:rPr>
        <w:br w:type="textWrapping"/>
      </w:r>
      <w:r>
        <w:rPr>
          <w:rFonts w:hint="eastAsia" w:ascii="宋体" w:hAnsi="宋体" w:cs="宋体"/>
          <w:b/>
          <w:bCs/>
          <w:color w:val="333333"/>
          <w:kern w:val="0"/>
          <w:szCs w:val="21"/>
        </w:rPr>
        <w:t>九、学习方式</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color w:val="FF0000"/>
          <w:kern w:val="0"/>
          <w:szCs w:val="21"/>
        </w:rPr>
        <w:t>学制两年，每月集中安排一个周末，连续两天时间授课：周六、周日（9：00-17：00）。学习地点：宁波工程学院西校区</w:t>
      </w:r>
      <w:r>
        <w:rPr>
          <w:rFonts w:hint="eastAsia" w:ascii="宋体" w:hAnsi="宋体" w:cs="宋体"/>
          <w:color w:val="333333"/>
          <w:kern w:val="0"/>
          <w:szCs w:val="21"/>
        </w:rPr>
        <w:br w:type="textWrapping"/>
      </w:r>
      <w:r>
        <w:rPr>
          <w:rFonts w:hint="eastAsia" w:ascii="宋体" w:hAnsi="宋体" w:cs="宋体"/>
          <w:b/>
          <w:bCs/>
          <w:color w:val="333333"/>
          <w:kern w:val="0"/>
          <w:szCs w:val="21"/>
        </w:rPr>
        <w:t>十、颁发证书</w:t>
      </w:r>
      <w:r>
        <w:rPr>
          <w:rFonts w:hint="eastAsia" w:ascii="宋体" w:hAnsi="宋体" w:cs="宋体"/>
          <w:color w:val="333333"/>
          <w:kern w:val="0"/>
          <w:szCs w:val="21"/>
        </w:rPr>
        <w:br w:type="textWrapping"/>
      </w:r>
      <w:r>
        <w:rPr>
          <w:rFonts w:hint="eastAsia" w:ascii="宋体" w:hAnsi="宋体" w:cs="宋体"/>
          <w:color w:val="333333"/>
          <w:kern w:val="0"/>
          <w:szCs w:val="21"/>
        </w:rPr>
        <w:t>　　1、学员在规定期限内完成研修班规定的学习项目，通过研修班规定课程考试，由我校研究生院颁发钢印结业证书，并标注研究生同等学力水平。</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2、获得学士学位的学员可申请中国人民大学管理学硕士学位。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十一、申请硕士学位步骤</w:t>
      </w:r>
      <w:r>
        <w:rPr>
          <w:rFonts w:hint="eastAsia" w:ascii="宋体" w:hAnsi="宋体" w:cs="宋体"/>
          <w:color w:val="333333"/>
          <w:kern w:val="0"/>
          <w:szCs w:val="21"/>
        </w:rPr>
        <w:br w:type="textWrapping"/>
      </w:r>
      <w:r>
        <w:rPr>
          <w:rFonts w:hint="eastAsia" w:ascii="宋体" w:hAnsi="宋体" w:cs="宋体"/>
          <w:color w:val="333333"/>
          <w:kern w:val="0"/>
          <w:szCs w:val="21"/>
        </w:rPr>
        <w:t>　　注：有关申请硕士学位问题严格按照国务院学位委员会（1998）54号文件的规定办理。申请硕士学位的步骤：</w:t>
      </w:r>
      <w:r>
        <w:rPr>
          <w:rFonts w:hint="eastAsia" w:ascii="宋体" w:hAnsi="宋体" w:cs="宋体"/>
          <w:color w:val="333333"/>
          <w:kern w:val="0"/>
          <w:szCs w:val="21"/>
        </w:rPr>
        <w:br w:type="textWrapping"/>
      </w:r>
      <w:r>
        <w:rPr>
          <w:rFonts w:hint="eastAsia" w:ascii="宋体" w:hAnsi="宋体" w:cs="宋体"/>
          <w:color w:val="333333"/>
          <w:kern w:val="0"/>
          <w:szCs w:val="21"/>
        </w:rPr>
        <w:t>　　1、凡符合报名条件要求申请硕士学位者可按54号文件有关规定，经我校学位办公室资格审核同意，发给《考试资格卡》；</w:t>
      </w:r>
      <w:r>
        <w:rPr>
          <w:rFonts w:hint="eastAsia" w:ascii="宋体" w:hAnsi="宋体" w:cs="宋体"/>
          <w:color w:val="333333"/>
          <w:kern w:val="0"/>
          <w:szCs w:val="21"/>
        </w:rPr>
        <w:br w:type="textWrapping"/>
      </w:r>
      <w:r>
        <w:rPr>
          <w:rFonts w:hint="eastAsia" w:ascii="宋体" w:hAnsi="宋体" w:cs="宋体"/>
          <w:color w:val="333333"/>
          <w:kern w:val="0"/>
          <w:szCs w:val="21"/>
        </w:rPr>
        <w:t>　　2、在获得《考试资格卡》后四年内，通过我校组织的全部课程的考试（必修课实行题库考试；选修课为课堂考核）和国家组织的水平考试（外语水平考试；学科综合水平考试）；</w:t>
      </w:r>
      <w:r>
        <w:rPr>
          <w:rFonts w:hint="eastAsia" w:ascii="宋体" w:hAnsi="宋体" w:cs="宋体"/>
          <w:color w:val="333333"/>
          <w:kern w:val="0"/>
          <w:szCs w:val="21"/>
        </w:rPr>
        <w:br w:type="textWrapping"/>
      </w:r>
      <w:r>
        <w:rPr>
          <w:rFonts w:hint="eastAsia" w:ascii="宋体" w:hAnsi="宋体" w:cs="宋体"/>
          <w:color w:val="333333"/>
          <w:kern w:val="0"/>
          <w:szCs w:val="21"/>
        </w:rPr>
        <w:t>　　3、通过全部课程考试后一年内，提出硕士学位论文，申请学位论文答辩；</w:t>
      </w:r>
      <w:r>
        <w:rPr>
          <w:rFonts w:hint="eastAsia" w:ascii="宋体" w:hAnsi="宋体" w:cs="宋体"/>
          <w:color w:val="333333"/>
          <w:kern w:val="0"/>
          <w:szCs w:val="21"/>
        </w:rPr>
        <w:br w:type="textWrapping"/>
      </w:r>
      <w:r>
        <w:rPr>
          <w:rFonts w:hint="eastAsia" w:ascii="宋体" w:hAnsi="宋体" w:cs="宋体"/>
          <w:color w:val="333333"/>
          <w:kern w:val="0"/>
          <w:szCs w:val="21"/>
        </w:rPr>
        <w:t>　　4、在提交论文后半年内，通过论文答辩，经校学位评定委员会审核通过，授予管理学硕士学位。</w:t>
      </w:r>
    </w:p>
    <w:p>
      <w:pPr>
        <w:rPr>
          <w:rFonts w:ascii="宋体" w:hAnsi="宋体" w:cs="宋体"/>
          <w:b/>
          <w:bCs/>
          <w:kern w:val="0"/>
          <w:sz w:val="24"/>
        </w:rPr>
      </w:pPr>
      <w:r>
        <w:rPr>
          <w:rFonts w:hint="eastAsia" w:ascii="宋体" w:hAnsi="宋体" w:cs="宋体"/>
          <w:b/>
          <w:bCs/>
          <w:kern w:val="0"/>
          <w:sz w:val="24"/>
        </w:rPr>
        <w:t>十二、师资力量</w:t>
      </w:r>
    </w:p>
    <w:tbl>
      <w:tblPr>
        <w:tblStyle w:val="12"/>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atLeast"/>
        </w:trPr>
        <w:tc>
          <w:tcPr>
            <w:tcW w:w="2253" w:type="dxa"/>
          </w:tcPr>
          <w:p>
            <w:pPr>
              <w:rPr>
                <w:b/>
                <w:sz w:val="28"/>
                <w:szCs w:val="28"/>
              </w:rPr>
            </w:pPr>
            <w:r>
              <w:rPr>
                <w:rFonts w:hint="eastAsia"/>
              </w:rPr>
              <w:drawing>
                <wp:anchor distT="0" distB="0" distL="114300" distR="114300" simplePos="0" relativeHeight="251676672" behindDoc="0" locked="0" layoutInCell="1" allowOverlap="1">
                  <wp:simplePos x="0" y="0"/>
                  <wp:positionH relativeFrom="margin">
                    <wp:posOffset>-65405</wp:posOffset>
                  </wp:positionH>
                  <wp:positionV relativeFrom="margin">
                    <wp:posOffset>10795</wp:posOffset>
                  </wp:positionV>
                  <wp:extent cx="1409700" cy="1884680"/>
                  <wp:effectExtent l="0" t="0" r="0" b="127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5" cstate="print"/>
                          <a:srcRect/>
                          <a:stretch>
                            <a:fillRect/>
                          </a:stretch>
                        </pic:blipFill>
                        <pic:spPr>
                          <a:xfrm>
                            <a:off x="0" y="0"/>
                            <a:ext cx="1409700" cy="1884680"/>
                          </a:xfrm>
                          <a:prstGeom prst="rect">
                            <a:avLst/>
                          </a:prstGeom>
                          <a:noFill/>
                          <a:ln w="9525">
                            <a:noFill/>
                            <a:miter/>
                          </a:ln>
                        </pic:spPr>
                      </pic:pic>
                    </a:graphicData>
                  </a:graphic>
                </wp:anchor>
              </w:drawing>
            </w:r>
          </w:p>
        </w:tc>
        <w:tc>
          <w:tcPr>
            <w:tcW w:w="2254" w:type="dxa"/>
          </w:tcPr>
          <w:p>
            <w:pPr>
              <w:rPr>
                <w:b/>
                <w:sz w:val="28"/>
                <w:szCs w:val="28"/>
              </w:rPr>
            </w:pPr>
            <w:r>
              <w:rPr>
                <w:rFonts w:hint="eastAsia"/>
                <w:b/>
                <w:sz w:val="28"/>
                <w:szCs w:val="28"/>
              </w:rPr>
              <w:t>温铁军</w:t>
            </w:r>
          </w:p>
          <w:p>
            <w:pPr>
              <w:rPr>
                <w:b/>
                <w:sz w:val="28"/>
                <w:szCs w:val="28"/>
              </w:rPr>
            </w:pPr>
            <w:r>
              <w:rPr>
                <w:rFonts w:hint="eastAsia" w:ascii="黑体" w:eastAsia="黑体"/>
              </w:rPr>
              <w:t>二级教授，博导，人大学术会副主任，经济与金融研究中心主任，中国农业经济学会副会长。</w:t>
            </w:r>
          </w:p>
        </w:tc>
        <w:tc>
          <w:tcPr>
            <w:tcW w:w="2254" w:type="dxa"/>
          </w:tcPr>
          <w:p>
            <w:pPr>
              <w:rPr>
                <w:b/>
                <w:sz w:val="28"/>
                <w:szCs w:val="28"/>
              </w:rPr>
            </w:pPr>
            <w:r>
              <w:rPr>
                <w:rFonts w:hint="eastAsia"/>
                <w:b/>
                <w:sz w:val="28"/>
                <w:szCs w:val="28"/>
              </w:rPr>
              <w:drawing>
                <wp:anchor distT="0" distB="0" distL="114300" distR="114300" simplePos="0" relativeHeight="251674624" behindDoc="1" locked="0" layoutInCell="1" allowOverlap="1">
                  <wp:simplePos x="0" y="0"/>
                  <wp:positionH relativeFrom="column">
                    <wp:posOffset>-65405</wp:posOffset>
                  </wp:positionH>
                  <wp:positionV relativeFrom="paragraph">
                    <wp:posOffset>10795</wp:posOffset>
                  </wp:positionV>
                  <wp:extent cx="1398270" cy="1932305"/>
                  <wp:effectExtent l="0" t="0" r="11430" b="10795"/>
                  <wp:wrapTight wrapText="bothSides">
                    <wp:wrapPolygon>
                      <wp:start x="21592" y="-2"/>
                      <wp:lineTo x="0" y="0"/>
                      <wp:lineTo x="0" y="21600"/>
                      <wp:lineTo x="21592" y="21602"/>
                      <wp:lineTo x="8" y="21602"/>
                      <wp:lineTo x="21600" y="21600"/>
                      <wp:lineTo x="21600" y="0"/>
                      <wp:lineTo x="8" y="-2"/>
                      <wp:lineTo x="21592" y="-2"/>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srcRect/>
                          <a:stretch>
                            <a:fillRect/>
                          </a:stretch>
                        </pic:blipFill>
                        <pic:spPr>
                          <a:xfrm>
                            <a:off x="0" y="0"/>
                            <a:ext cx="1398270" cy="1932305"/>
                          </a:xfrm>
                          <a:prstGeom prst="rect">
                            <a:avLst/>
                          </a:prstGeom>
                          <a:noFill/>
                          <a:ln w="9525">
                            <a:noFill/>
                            <a:miter/>
                          </a:ln>
                        </pic:spPr>
                      </pic:pic>
                    </a:graphicData>
                  </a:graphic>
                </wp:anchor>
              </w:drawing>
            </w:r>
          </w:p>
        </w:tc>
        <w:tc>
          <w:tcPr>
            <w:tcW w:w="2254" w:type="dxa"/>
          </w:tcPr>
          <w:p>
            <w:pPr>
              <w:rPr>
                <w:b/>
                <w:sz w:val="28"/>
                <w:szCs w:val="28"/>
              </w:rPr>
            </w:pPr>
            <w:r>
              <w:rPr>
                <w:rFonts w:hint="eastAsia"/>
                <w:b/>
                <w:sz w:val="28"/>
                <w:szCs w:val="28"/>
              </w:rPr>
              <w:t>唐 忠</w:t>
            </w:r>
          </w:p>
          <w:p>
            <w:pPr>
              <w:rPr>
                <w:b/>
                <w:sz w:val="28"/>
                <w:szCs w:val="28"/>
              </w:rPr>
            </w:pPr>
            <w:r>
              <w:rPr>
                <w:rFonts w:hint="eastAsia" w:ascii="黑体" w:eastAsia="黑体"/>
              </w:rPr>
              <w:t>经济学博士，现任中国人民大学农业与农村发展学院院长、教授、博士生导师。学术委员会委员。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53" w:type="dxa"/>
          </w:tcPr>
          <w:p>
            <w:pPr>
              <w:rPr>
                <w:b/>
                <w:sz w:val="28"/>
                <w:szCs w:val="28"/>
              </w:rPr>
            </w:pPr>
            <w:r>
              <w:rPr>
                <w:rFonts w:hint="eastAsia" w:ascii="黑体" w:eastAsia="黑体"/>
              </w:rPr>
              <w:drawing>
                <wp:anchor distT="0" distB="0" distL="0" distR="0" simplePos="0" relativeHeight="251675648" behindDoc="1" locked="0" layoutInCell="1" allowOverlap="1">
                  <wp:simplePos x="0" y="0"/>
                  <wp:positionH relativeFrom="column">
                    <wp:posOffset>-20955</wp:posOffset>
                  </wp:positionH>
                  <wp:positionV relativeFrom="paragraph">
                    <wp:posOffset>75565</wp:posOffset>
                  </wp:positionV>
                  <wp:extent cx="1310640" cy="1819910"/>
                  <wp:effectExtent l="0" t="0" r="3810" b="8890"/>
                  <wp:wrapSquare wrapText="bothSides"/>
                  <wp:docPr id="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4"/>
                          <pic:cNvPicPr>
                            <a:picLocks noChangeAspect="1"/>
                          </pic:cNvPicPr>
                        </pic:nvPicPr>
                        <pic:blipFill>
                          <a:blip r:embed="rId7" cstate="print"/>
                          <a:srcRect/>
                          <a:stretch>
                            <a:fillRect/>
                          </a:stretch>
                        </pic:blipFill>
                        <pic:spPr>
                          <a:xfrm>
                            <a:off x="0" y="0"/>
                            <a:ext cx="1310640" cy="1819910"/>
                          </a:xfrm>
                          <a:prstGeom prst="rect">
                            <a:avLst/>
                          </a:prstGeom>
                          <a:noFill/>
                          <a:ln w="9525">
                            <a:noFill/>
                            <a:miter/>
                          </a:ln>
                        </pic:spPr>
                      </pic:pic>
                    </a:graphicData>
                  </a:graphic>
                </wp:anchor>
              </w:drawing>
            </w:r>
          </w:p>
        </w:tc>
        <w:tc>
          <w:tcPr>
            <w:tcW w:w="2254" w:type="dxa"/>
          </w:tcPr>
          <w:p>
            <w:pPr>
              <w:rPr>
                <w:b/>
                <w:sz w:val="28"/>
                <w:szCs w:val="28"/>
              </w:rPr>
            </w:pPr>
            <w:r>
              <w:rPr>
                <w:rFonts w:hint="eastAsia"/>
                <w:b/>
                <w:sz w:val="28"/>
                <w:szCs w:val="28"/>
              </w:rPr>
              <w:t>孔祥智</w:t>
            </w:r>
          </w:p>
          <w:p>
            <w:pPr>
              <w:rPr>
                <w:b/>
                <w:sz w:val="28"/>
                <w:szCs w:val="28"/>
              </w:rPr>
            </w:pPr>
            <w:r>
              <w:rPr>
                <w:rFonts w:hint="eastAsia" w:ascii="黑体" w:eastAsia="黑体"/>
              </w:rPr>
              <w:t>经济学博士，教授、博士生导师，党委书记兼副院长，人大中国合作社研究院院长</w:t>
            </w:r>
          </w:p>
        </w:tc>
        <w:tc>
          <w:tcPr>
            <w:tcW w:w="2254" w:type="dxa"/>
          </w:tcPr>
          <w:p>
            <w:pPr>
              <w:rPr>
                <w:b/>
                <w:sz w:val="28"/>
                <w:szCs w:val="28"/>
              </w:rPr>
            </w:pPr>
            <w:r>
              <w:rPr>
                <w:rFonts w:hint="eastAsia" w:ascii="黑体" w:eastAsia="黑体"/>
              </w:rPr>
              <w:drawing>
                <wp:anchor distT="0" distB="0" distL="114300" distR="114300" simplePos="0" relativeHeight="251677696" behindDoc="0" locked="0" layoutInCell="1" allowOverlap="1">
                  <wp:simplePos x="0" y="0"/>
                  <wp:positionH relativeFrom="column">
                    <wp:posOffset>-65405</wp:posOffset>
                  </wp:positionH>
                  <wp:positionV relativeFrom="paragraph">
                    <wp:posOffset>-13970</wp:posOffset>
                  </wp:positionV>
                  <wp:extent cx="1537335" cy="1842770"/>
                  <wp:effectExtent l="0" t="0" r="5715" b="508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pic:cNvPicPr>
                        </pic:nvPicPr>
                        <pic:blipFill>
                          <a:blip r:embed="rId8" cstate="print"/>
                          <a:srcRect/>
                          <a:stretch>
                            <a:fillRect/>
                          </a:stretch>
                        </pic:blipFill>
                        <pic:spPr>
                          <a:xfrm>
                            <a:off x="0" y="0"/>
                            <a:ext cx="1537335" cy="1842770"/>
                          </a:xfrm>
                          <a:prstGeom prst="rect">
                            <a:avLst/>
                          </a:prstGeom>
                          <a:noFill/>
                          <a:ln w="9525">
                            <a:noFill/>
                            <a:miter/>
                          </a:ln>
                        </pic:spPr>
                      </pic:pic>
                    </a:graphicData>
                  </a:graphic>
                </wp:anchor>
              </w:drawing>
            </w:r>
          </w:p>
        </w:tc>
        <w:tc>
          <w:tcPr>
            <w:tcW w:w="2254" w:type="dxa"/>
          </w:tcPr>
          <w:p>
            <w:pPr>
              <w:rPr>
                <w:rFonts w:ascii="Arial" w:hAnsi="Arial" w:cs="Arial"/>
                <w:b/>
                <w:color w:val="000000"/>
                <w:sz w:val="28"/>
                <w:szCs w:val="28"/>
              </w:rPr>
            </w:pPr>
            <w:r>
              <w:rPr>
                <w:rFonts w:hint="eastAsia" w:ascii="Arial" w:hAnsi="Arial" w:cs="Arial"/>
                <w:b/>
                <w:color w:val="000000"/>
                <w:sz w:val="28"/>
                <w:szCs w:val="28"/>
              </w:rPr>
              <w:t>朱信凯</w:t>
            </w:r>
          </w:p>
          <w:p>
            <w:pPr>
              <w:rPr>
                <w:b/>
                <w:sz w:val="28"/>
                <w:szCs w:val="28"/>
              </w:rPr>
            </w:pPr>
            <w:r>
              <w:rPr>
                <w:rFonts w:hint="eastAsia" w:ascii="黑体" w:eastAsia="黑体"/>
              </w:rPr>
              <w:t>经济与管理学博士，教授、博士生导师，副院长；农业部青年联合会副主席。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trPr>
        <w:tc>
          <w:tcPr>
            <w:tcW w:w="2253" w:type="dxa"/>
          </w:tcPr>
          <w:p>
            <w:pPr>
              <w:rPr>
                <w:b/>
                <w:sz w:val="28"/>
                <w:szCs w:val="28"/>
              </w:rPr>
            </w:pPr>
            <w:r>
              <w:rPr>
                <w:rFonts w:hint="eastAsia" w:ascii="黑体" w:eastAsia="黑体"/>
              </w:rPr>
              <w:drawing>
                <wp:anchor distT="0" distB="0" distL="114300" distR="114300" simplePos="0" relativeHeight="251678720" behindDoc="0" locked="0" layoutInCell="1" allowOverlap="1">
                  <wp:simplePos x="0" y="0"/>
                  <wp:positionH relativeFrom="column">
                    <wp:posOffset>-65405</wp:posOffset>
                  </wp:positionH>
                  <wp:positionV relativeFrom="paragraph">
                    <wp:posOffset>41910</wp:posOffset>
                  </wp:positionV>
                  <wp:extent cx="1447800" cy="1879600"/>
                  <wp:effectExtent l="0" t="0" r="0" b="6350"/>
                  <wp:wrapSquare wrapText="r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cstate="print"/>
                          <a:srcRect/>
                          <a:stretch>
                            <a:fillRect/>
                          </a:stretch>
                        </pic:blipFill>
                        <pic:spPr>
                          <a:xfrm>
                            <a:off x="0" y="0"/>
                            <a:ext cx="1447800" cy="1879600"/>
                          </a:xfrm>
                          <a:prstGeom prst="rect">
                            <a:avLst/>
                          </a:prstGeom>
                          <a:noFill/>
                          <a:ln w="9525">
                            <a:noFill/>
                            <a:miter/>
                          </a:ln>
                        </pic:spPr>
                      </pic:pic>
                    </a:graphicData>
                  </a:graphic>
                </wp:anchor>
              </w:drawing>
            </w:r>
          </w:p>
        </w:tc>
        <w:tc>
          <w:tcPr>
            <w:tcW w:w="2254" w:type="dxa"/>
          </w:tcPr>
          <w:p>
            <w:pPr>
              <w:rPr>
                <w:b/>
                <w:sz w:val="28"/>
                <w:szCs w:val="28"/>
              </w:rPr>
            </w:pPr>
            <w:r>
              <w:rPr>
                <w:rFonts w:hint="eastAsia"/>
                <w:b/>
                <w:sz w:val="28"/>
                <w:szCs w:val="28"/>
              </w:rPr>
              <w:t>张利庠</w:t>
            </w:r>
          </w:p>
          <w:p>
            <w:pPr>
              <w:rPr>
                <w:b/>
                <w:sz w:val="28"/>
                <w:szCs w:val="28"/>
              </w:rPr>
            </w:pPr>
            <w:r>
              <w:rPr>
                <w:rFonts w:hint="eastAsia" w:ascii="黑体" w:eastAsia="黑体"/>
              </w:rPr>
              <w:t>管理学博士，教授、博士生导师，副院长，全国十佳企业培训师、策划师，中国人民大学十大教学标兵。</w:t>
            </w:r>
          </w:p>
        </w:tc>
        <w:tc>
          <w:tcPr>
            <w:tcW w:w="2254" w:type="dxa"/>
          </w:tcPr>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1362075" cy="1895475"/>
                  <wp:effectExtent l="0" t="0" r="9525" b="9525"/>
                  <wp:docPr id="8" name="图片 8" descr="宋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宋华"/>
                          <pic:cNvPicPr>
                            <a:picLocks noChangeAspect="1"/>
                          </pic:cNvPicPr>
                        </pic:nvPicPr>
                        <pic:blipFill>
                          <a:blip r:embed="rId10" cstate="print"/>
                          <a:srcRect/>
                          <a:stretch>
                            <a:fillRect/>
                          </a:stretch>
                        </pic:blipFill>
                        <pic:spPr>
                          <a:xfrm>
                            <a:off x="0" y="0"/>
                            <a:ext cx="1362075" cy="1895475"/>
                          </a:xfrm>
                          <a:prstGeom prst="rect">
                            <a:avLst/>
                          </a:prstGeom>
                          <a:noFill/>
                          <a:ln w="9525">
                            <a:noFill/>
                            <a:miter/>
                          </a:ln>
                        </pic:spPr>
                      </pic:pic>
                    </a:graphicData>
                  </a:graphic>
                </wp:inline>
              </w:drawing>
            </w:r>
          </w:p>
          <w:p>
            <w:pPr>
              <w:rPr>
                <w:b/>
                <w:sz w:val="28"/>
                <w:szCs w:val="28"/>
              </w:rPr>
            </w:pPr>
          </w:p>
        </w:tc>
        <w:tc>
          <w:tcPr>
            <w:tcW w:w="2254" w:type="dxa"/>
          </w:tcPr>
          <w:p>
            <w:pPr>
              <w:rPr>
                <w:b/>
                <w:sz w:val="28"/>
                <w:szCs w:val="28"/>
              </w:rPr>
            </w:pPr>
            <w:r>
              <w:rPr>
                <w:rFonts w:hint="eastAsia"/>
                <w:b/>
                <w:sz w:val="28"/>
                <w:szCs w:val="28"/>
              </w:rPr>
              <w:t>宋华</w:t>
            </w:r>
          </w:p>
          <w:p>
            <w:pPr>
              <w:rPr>
                <w:szCs w:val="21"/>
              </w:rPr>
            </w:pPr>
            <w:r>
              <w:rPr>
                <w:rFonts w:hint="eastAsia" w:ascii="黑体" w:eastAsia="黑体"/>
              </w:rPr>
              <w:t>人民大学</w:t>
            </w:r>
            <w:r>
              <w:rPr>
                <w:rFonts w:ascii="黑体" w:eastAsia="黑体"/>
              </w:rPr>
              <w:t>商学院教授、博士研究生导师、副院长。兼任北京现代管理研究会会长、中国管理现代化研究会副秘书长、商务部市场调控专家库专家、南开现代物流研究中心兼职研究员等职</w:t>
            </w:r>
            <w:r>
              <w:rPr>
                <w:rFonts w:hint="eastAsia" w:asci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trPr>
        <w:tc>
          <w:tcPr>
            <w:tcW w:w="2253" w:type="dxa"/>
          </w:tcPr>
          <w:p>
            <w:pPr>
              <w:rPr>
                <w:rFonts w:ascii="黑体" w:eastAsia="黑体"/>
              </w:rPr>
            </w:pPr>
            <w:r>
              <w:rPr>
                <w:rFonts w:ascii="黑体" w:eastAsia="黑体"/>
              </w:rPr>
              <w:drawing>
                <wp:inline distT="0" distB="0" distL="114300" distR="114300">
                  <wp:extent cx="1285875" cy="18097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srcRect/>
                          <a:stretch>
                            <a:fillRect/>
                          </a:stretch>
                        </pic:blipFill>
                        <pic:spPr>
                          <a:xfrm>
                            <a:off x="0" y="0"/>
                            <a:ext cx="1285875" cy="1809750"/>
                          </a:xfrm>
                          <a:prstGeom prst="rect">
                            <a:avLst/>
                          </a:prstGeom>
                          <a:noFill/>
                          <a:ln w="9525">
                            <a:noFill/>
                            <a:miter/>
                          </a:ln>
                        </pic:spPr>
                      </pic:pic>
                    </a:graphicData>
                  </a:graphic>
                </wp:inline>
              </w:drawing>
            </w:r>
          </w:p>
        </w:tc>
        <w:tc>
          <w:tcPr>
            <w:tcW w:w="2254" w:type="dxa"/>
          </w:tcPr>
          <w:p>
            <w:pPr>
              <w:rPr>
                <w:b/>
                <w:color w:val="000000"/>
                <w:sz w:val="28"/>
                <w:szCs w:val="28"/>
              </w:rPr>
            </w:pPr>
            <w:r>
              <w:rPr>
                <w:rFonts w:hint="eastAsia"/>
                <w:b/>
                <w:color w:val="000000"/>
                <w:sz w:val="28"/>
                <w:szCs w:val="28"/>
              </w:rPr>
              <w:t>胡锦光</w:t>
            </w:r>
          </w:p>
          <w:p>
            <w:pPr>
              <w:rPr>
                <w:b/>
                <w:sz w:val="28"/>
                <w:szCs w:val="28"/>
              </w:rPr>
            </w:pPr>
            <w:r>
              <w:rPr>
                <w:rFonts w:ascii="黑体" w:eastAsia="黑体"/>
              </w:rPr>
              <w:t>法学院教授、博士生导师、副院长。兼任中国宪法学研究会副会长、国家统计局法律咨询顾问</w:t>
            </w:r>
          </w:p>
        </w:tc>
        <w:tc>
          <w:tcPr>
            <w:tcW w:w="2254" w:type="dxa"/>
          </w:tcPr>
          <w:p>
            <w:pPr>
              <w:rPr>
                <w:b/>
                <w:sz w:val="28"/>
                <w:szCs w:val="28"/>
              </w:rPr>
            </w:pPr>
            <w:r>
              <w:rPr>
                <w:rFonts w:hint="eastAsia" w:ascii="黑体" w:eastAsia="黑体"/>
              </w:rPr>
              <w:drawing>
                <wp:anchor distT="0" distB="0" distL="114300" distR="114300" simplePos="0" relativeHeight="251679744" behindDoc="0" locked="0" layoutInCell="1" allowOverlap="1">
                  <wp:simplePos x="0" y="0"/>
                  <wp:positionH relativeFrom="column">
                    <wp:posOffset>0</wp:posOffset>
                  </wp:positionH>
                  <wp:positionV relativeFrom="paragraph">
                    <wp:posOffset>48895</wp:posOffset>
                  </wp:positionV>
                  <wp:extent cx="1299210" cy="1851025"/>
                  <wp:effectExtent l="0" t="0" r="15240" b="1587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srcRect/>
                          <a:stretch>
                            <a:fillRect/>
                          </a:stretch>
                        </pic:blipFill>
                        <pic:spPr>
                          <a:xfrm>
                            <a:off x="0" y="0"/>
                            <a:ext cx="1299210" cy="1851025"/>
                          </a:xfrm>
                          <a:prstGeom prst="rect">
                            <a:avLst/>
                          </a:prstGeom>
                          <a:noFill/>
                          <a:ln w="9525">
                            <a:noFill/>
                            <a:miter/>
                          </a:ln>
                        </pic:spPr>
                      </pic:pic>
                    </a:graphicData>
                  </a:graphic>
                </wp:anchor>
              </w:drawing>
            </w:r>
          </w:p>
        </w:tc>
        <w:tc>
          <w:tcPr>
            <w:tcW w:w="2254" w:type="dxa"/>
          </w:tcPr>
          <w:p>
            <w:pPr>
              <w:ind w:firstLine="281" w:firstLineChars="100"/>
              <w:rPr>
                <w:b/>
                <w:color w:val="222222"/>
                <w:sz w:val="28"/>
                <w:szCs w:val="28"/>
              </w:rPr>
            </w:pPr>
            <w:r>
              <w:rPr>
                <w:rFonts w:hint="eastAsia"/>
                <w:b/>
                <w:color w:val="222222"/>
                <w:sz w:val="28"/>
                <w:szCs w:val="28"/>
              </w:rPr>
              <w:t>毛学峰</w:t>
            </w:r>
          </w:p>
          <w:p>
            <w:pPr>
              <w:rPr>
                <w:b/>
                <w:sz w:val="28"/>
                <w:szCs w:val="28"/>
              </w:rPr>
            </w:pPr>
            <w:r>
              <w:rPr>
                <w:rFonts w:hint="eastAsia" w:ascii="黑体" w:eastAsia="黑体"/>
              </w:rPr>
              <w:t>经济管理学院，师从辛贤教授，获管理学博士学位。现任中国人民大学农业与农村发展学院副教授、硕士生导师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4" w:hRule="atLeast"/>
        </w:trPr>
        <w:tc>
          <w:tcPr>
            <w:tcW w:w="2253" w:type="dxa"/>
          </w:tcPr>
          <w:p>
            <w:pPr>
              <w:rPr>
                <w:rFonts w:ascii="黑体" w:eastAsia="黑体"/>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"C:\\Users\\Administrator\\AppData\\Roaming\\Tencent\\Users\\1979285035\\QQ\\WinTemp\\RichOle\\4TOHEDXVVF~DC_R)`Q{DS`2.png"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1558290" cy="1903730"/>
                  <wp:effectExtent l="0" t="0" r="3810" b="1270"/>
                  <wp:docPr id="10" name="图片 10" descr="4TOHEDXVVF~DC_R)`Q{D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TOHEDXVVF~DC_R)`Q{DS`2"/>
                          <pic:cNvPicPr>
                            <a:picLocks noChangeAspect="1"/>
                          </pic:cNvPicPr>
                        </pic:nvPicPr>
                        <pic:blipFill>
                          <a:blip r:embed="rId13" cstate="print"/>
                          <a:srcRect/>
                          <a:stretch>
                            <a:fillRect/>
                          </a:stretch>
                        </pic:blipFill>
                        <pic:spPr>
                          <a:xfrm>
                            <a:off x="0" y="0"/>
                            <a:ext cx="1558290" cy="1903730"/>
                          </a:xfrm>
                          <a:prstGeom prst="rect">
                            <a:avLst/>
                          </a:prstGeom>
                          <a:noFill/>
                          <a:ln w="9525">
                            <a:noFill/>
                            <a:miter/>
                          </a:ln>
                        </pic:spPr>
                      </pic:pic>
                    </a:graphicData>
                  </a:graphic>
                </wp:inline>
              </w:drawing>
            </w:r>
            <w:r>
              <w:rPr>
                <w:rFonts w:ascii="宋体" w:hAnsi="宋体" w:cs="宋体"/>
                <w:kern w:val="0"/>
                <w:sz w:val="24"/>
                <w:szCs w:val="24"/>
              </w:rPr>
              <w:fldChar w:fldCharType="end"/>
            </w:r>
          </w:p>
        </w:tc>
        <w:tc>
          <w:tcPr>
            <w:tcW w:w="2254" w:type="dxa"/>
          </w:tcPr>
          <w:p>
            <w:pPr>
              <w:rPr>
                <w:rFonts w:ascii="黑体" w:hAnsi="黑体" w:eastAsia="黑体"/>
                <w:b/>
                <w:sz w:val="28"/>
                <w:szCs w:val="28"/>
              </w:rPr>
            </w:pPr>
            <w:r>
              <w:rPr>
                <w:rFonts w:hint="eastAsia" w:ascii="黑体" w:hAnsi="黑体" w:eastAsia="黑体"/>
                <w:b/>
                <w:sz w:val="28"/>
                <w:szCs w:val="28"/>
              </w:rPr>
              <w:t>刘刚</w:t>
            </w:r>
          </w:p>
          <w:p>
            <w:pPr>
              <w:rPr>
                <w:b/>
                <w:color w:val="000000"/>
                <w:sz w:val="28"/>
                <w:szCs w:val="28"/>
              </w:rPr>
            </w:pPr>
            <w:r>
              <w:rPr>
                <w:rFonts w:ascii="黑体" w:hAnsi="黑体" w:eastAsia="黑体"/>
                <w:color w:val="333333"/>
                <w:szCs w:val="21"/>
              </w:rPr>
              <w:t>教授、博士生导师、</w:t>
            </w:r>
            <w:r>
              <w:rPr>
                <w:rStyle w:val="19"/>
                <w:rFonts w:hint="eastAsia" w:ascii="黑体" w:hAnsi="黑体" w:eastAsia="黑体"/>
                <w:bCs/>
                <w:color w:val="000000"/>
                <w:szCs w:val="21"/>
              </w:rPr>
              <w:t>商学院院长助理</w:t>
            </w:r>
            <w:r>
              <w:rPr>
                <w:rFonts w:ascii="黑体" w:hAnsi="黑体" w:eastAsia="黑体"/>
                <w:color w:val="333333"/>
                <w:szCs w:val="21"/>
              </w:rPr>
              <w:t>。兼任中国企业管理研究会副理事长、中国社会科学院企业社会责任研究中心副理事长、北京现代企业研究会秘书长。</w:t>
            </w:r>
          </w:p>
        </w:tc>
        <w:tc>
          <w:tcPr>
            <w:tcW w:w="2254" w:type="dxa"/>
          </w:tcPr>
          <w:p>
            <w:pPr>
              <w:rPr>
                <w:rFonts w:ascii="黑体" w:eastAsia="黑体"/>
              </w:rPr>
            </w:pPr>
            <w:r>
              <w:rPr>
                <w:rFonts w:ascii="黑体" w:eastAsia="黑体"/>
              </w:rPr>
              <w:drawing>
                <wp:inline distT="0" distB="0" distL="114300" distR="114300">
                  <wp:extent cx="1457325" cy="1838325"/>
                  <wp:effectExtent l="0" t="0" r="9525" b="9525"/>
                  <wp:docPr id="11" name="图片 11" descr="杨伟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杨伟国"/>
                          <pic:cNvPicPr>
                            <a:picLocks noChangeAspect="1"/>
                          </pic:cNvPicPr>
                        </pic:nvPicPr>
                        <pic:blipFill>
                          <a:blip r:embed="rId14" cstate="print"/>
                          <a:srcRect/>
                          <a:stretch>
                            <a:fillRect/>
                          </a:stretch>
                        </pic:blipFill>
                        <pic:spPr>
                          <a:xfrm>
                            <a:off x="0" y="0"/>
                            <a:ext cx="1457325" cy="1838325"/>
                          </a:xfrm>
                          <a:prstGeom prst="rect">
                            <a:avLst/>
                          </a:prstGeom>
                          <a:noFill/>
                          <a:ln w="9525">
                            <a:noFill/>
                            <a:miter/>
                          </a:ln>
                        </pic:spPr>
                      </pic:pic>
                    </a:graphicData>
                  </a:graphic>
                </wp:inline>
              </w:drawing>
            </w:r>
          </w:p>
        </w:tc>
        <w:tc>
          <w:tcPr>
            <w:tcW w:w="2254" w:type="dxa"/>
          </w:tcPr>
          <w:p>
            <w:pPr>
              <w:ind w:firstLine="281" w:firstLineChars="100"/>
              <w:rPr>
                <w:b/>
                <w:color w:val="222222"/>
                <w:sz w:val="28"/>
                <w:szCs w:val="28"/>
              </w:rPr>
            </w:pPr>
            <w:r>
              <w:rPr>
                <w:rFonts w:hint="eastAsia"/>
                <w:b/>
                <w:color w:val="222222"/>
                <w:sz w:val="28"/>
                <w:szCs w:val="28"/>
              </w:rPr>
              <w:t>杨伟国</w:t>
            </w:r>
          </w:p>
          <w:p>
            <w:pPr>
              <w:ind w:firstLine="210" w:firstLineChars="100"/>
              <w:rPr>
                <w:b/>
                <w:color w:val="222222"/>
                <w:sz w:val="28"/>
                <w:szCs w:val="28"/>
              </w:rPr>
            </w:pPr>
            <w:r>
              <w:rPr>
                <w:rFonts w:ascii="黑体" w:hAnsi="黑体" w:eastAsia="黑体"/>
                <w:color w:val="333333"/>
                <w:szCs w:val="21"/>
              </w:rPr>
              <w:t>教授、博士生导师</w:t>
            </w:r>
            <w:r>
              <w:rPr>
                <w:rFonts w:hint="eastAsia" w:ascii="黑体" w:eastAsia="黑体"/>
              </w:rPr>
              <w:t>中国人民大学劳动人事学院教授。</w:t>
            </w:r>
            <w:r>
              <w:rPr>
                <w:rFonts w:hint="eastAsia" w:ascii="黑体" w:hAnsi="黑体" w:eastAsia="黑体"/>
                <w:color w:val="333333"/>
                <w:szCs w:val="21"/>
              </w:rPr>
              <w:t>兼任</w:t>
            </w:r>
            <w:r>
              <w:fldChar w:fldCharType="begin"/>
            </w:r>
            <w:r>
              <w:instrText xml:space="preserve"> HYPERLINK "http://baike.sogou.com/lemma/ShowInnerLink.htm?lemmaId=71844611&amp;ss_c=ssc.citiao.link" \t "_blank" </w:instrText>
            </w:r>
            <w:r>
              <w:fldChar w:fldCharType="separate"/>
            </w:r>
            <w:r>
              <w:rPr>
                <w:rFonts w:ascii="黑体" w:hAnsi="黑体" w:eastAsia="黑体"/>
                <w:color w:val="333333"/>
                <w:szCs w:val="21"/>
              </w:rPr>
              <w:t>中国人民大学中法学院</w:t>
            </w:r>
            <w:r>
              <w:rPr>
                <w:rFonts w:ascii="黑体" w:hAnsi="黑体" w:eastAsia="黑体"/>
                <w:color w:val="333333"/>
                <w:szCs w:val="21"/>
              </w:rPr>
              <w:fldChar w:fldCharType="end"/>
            </w:r>
            <w:r>
              <w:rPr>
                <w:rFonts w:ascii="黑体" w:hAnsi="黑体" w:eastAsia="黑体"/>
                <w:color w:val="333333"/>
                <w:szCs w:val="21"/>
              </w:rPr>
              <w:t>院长</w:t>
            </w:r>
            <w:r>
              <w:rPr>
                <w:rFonts w:hint="eastAsia" w:ascii="黑体" w:hAnsi="黑体" w:eastAsia="黑体"/>
                <w:color w:val="333333"/>
                <w:szCs w:val="21"/>
              </w:rPr>
              <w:t>、</w:t>
            </w:r>
            <w:r>
              <w:fldChar w:fldCharType="begin"/>
            </w:r>
            <w:r>
              <w:instrText xml:space="preserve"> HYPERLINK "http://baike.sogou.com/lemma/ShowInnerLink.htm?lemmaId=70793402" \t "_blank" </w:instrText>
            </w:r>
            <w:r>
              <w:fldChar w:fldCharType="separate"/>
            </w:r>
            <w:r>
              <w:rPr>
                <w:rFonts w:ascii="黑体" w:hAnsi="黑体" w:eastAsia="黑体"/>
                <w:color w:val="333333"/>
                <w:szCs w:val="21"/>
              </w:rPr>
              <w:t>中国人民大学劳动人事学院</w:t>
            </w:r>
            <w:r>
              <w:rPr>
                <w:rFonts w:ascii="黑体" w:hAnsi="黑体" w:eastAsia="黑体"/>
                <w:color w:val="333333"/>
                <w:szCs w:val="21"/>
              </w:rPr>
              <w:fldChar w:fldCharType="end"/>
            </w:r>
            <w:r>
              <w:rPr>
                <w:rFonts w:ascii="黑体" w:hAnsi="黑体" w:eastAsia="黑体"/>
                <w:color w:val="333333"/>
                <w:szCs w:val="21"/>
              </w:rPr>
              <w:t>党委书记、院长助理</w:t>
            </w:r>
            <w:r>
              <w:rPr>
                <w:rFonts w:hint="eastAsia" w:ascii="黑体" w:hAnsi="黑体" w:eastAsia="黑体"/>
                <w:color w:val="333333"/>
                <w:szCs w:val="21"/>
              </w:rPr>
              <w:t>、</w:t>
            </w:r>
            <w:r>
              <w:fldChar w:fldCharType="begin"/>
            </w:r>
            <w:r>
              <w:instrText xml:space="preserve"> HYPERLINK "http://baike.sogou.com/lemma/ShowInnerLink.htm?lemmaId=71019008" \t "_blank" </w:instrText>
            </w:r>
            <w:r>
              <w:fldChar w:fldCharType="separate"/>
            </w:r>
            <w:r>
              <w:rPr>
                <w:rFonts w:ascii="黑体" w:hAnsi="黑体" w:eastAsia="黑体"/>
                <w:color w:val="333333"/>
                <w:szCs w:val="21"/>
              </w:rPr>
              <w:t>中国人民大学中国就业研究所</w:t>
            </w:r>
            <w:r>
              <w:rPr>
                <w:rFonts w:ascii="黑体" w:hAnsi="黑体" w:eastAsia="黑体"/>
                <w:color w:val="333333"/>
                <w:szCs w:val="21"/>
              </w:rPr>
              <w:fldChar w:fldCharType="end"/>
            </w:r>
            <w:r>
              <w:rPr>
                <w:rFonts w:ascii="黑体" w:hAnsi="黑体" w:eastAsia="黑体"/>
                <w:color w:val="333333"/>
                <w:szCs w:val="21"/>
              </w:rPr>
              <w:t>副所长</w:t>
            </w:r>
            <w:r>
              <w:rPr>
                <w:rFonts w:hint="eastAsia" w:ascii="黑体" w:hAnsi="黑体" w:eastAsia="黑体"/>
                <w:color w:val="333333"/>
                <w:szCs w:val="21"/>
              </w:rPr>
              <w:t>、苏州高新区人力资源产业研究所所长。</w:t>
            </w:r>
          </w:p>
        </w:tc>
      </w:tr>
    </w:tbl>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widowControl/>
        <w:shd w:val="clear" w:color="auto" w:fill="FFFFFF"/>
        <w:spacing w:line="450" w:lineRule="atLeast"/>
        <w:ind w:firstLine="420" w:firstLineChars="200"/>
        <w:jc w:val="left"/>
        <w:rPr>
          <w:rFonts w:hint="eastAsia" w:ascii="宋体" w:hAnsi="宋体" w:cs="宋体"/>
          <w:color w:val="333333"/>
          <w:kern w:val="0"/>
          <w:szCs w:val="21"/>
        </w:rPr>
      </w:pPr>
    </w:p>
    <w:p>
      <w:pPr>
        <w:jc w:val="center"/>
        <w:rPr>
          <w:sz w:val="27"/>
        </w:rPr>
      </w:pPr>
      <w:r>
        <w:rPr>
          <w:rFonts w:hint="eastAsia" w:ascii="黑体" w:hAnsi="宋体" w:eastAsia="黑体" w:cs="宋体"/>
          <w:color w:val="FF0000"/>
          <w:kern w:val="0"/>
          <w:sz w:val="42"/>
          <w:szCs w:val="36"/>
        </w:rPr>
        <w:t>在职研究生课研修班报名登记表</w:t>
      </w:r>
    </w:p>
    <w:p>
      <w:pPr>
        <w:rPr>
          <w:sz w:val="27"/>
        </w:rPr>
      </w:pPr>
    </w:p>
    <w:tbl>
      <w:tblPr>
        <w:tblStyle w:val="12"/>
        <w:tblpPr w:leftFromText="180" w:rightFromText="180" w:vertAnchor="text" w:horzAnchor="margin" w:tblpY="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68"/>
        <w:gridCol w:w="846"/>
        <w:gridCol w:w="426"/>
        <w:gridCol w:w="819"/>
        <w:gridCol w:w="60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姓　　名</w:t>
            </w:r>
          </w:p>
        </w:tc>
        <w:tc>
          <w:tcPr>
            <w:tcW w:w="1568" w:type="dxa"/>
            <w:tcBorders>
              <w:top w:val="single" w:color="auto" w:sz="4" w:space="0"/>
              <w:left w:val="single" w:color="auto" w:sz="4" w:space="0"/>
              <w:bottom w:val="single" w:color="auto" w:sz="4" w:space="0"/>
              <w:right w:val="single" w:color="auto" w:sz="4" w:space="0"/>
            </w:tcBorders>
          </w:tcPr>
          <w:p>
            <w:pPr>
              <w:rPr>
                <w:b/>
                <w:sz w:val="27"/>
                <w:szCs w:val="24"/>
              </w:rPr>
            </w:pPr>
          </w:p>
        </w:tc>
        <w:tc>
          <w:tcPr>
            <w:tcW w:w="1272"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性　别</w:t>
            </w:r>
          </w:p>
        </w:tc>
        <w:tc>
          <w:tcPr>
            <w:tcW w:w="1420"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年 龄</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政治面貌</w:t>
            </w:r>
          </w:p>
        </w:tc>
        <w:tc>
          <w:tcPr>
            <w:tcW w:w="1568" w:type="dxa"/>
            <w:tcBorders>
              <w:top w:val="single" w:color="auto" w:sz="4" w:space="0"/>
              <w:left w:val="single" w:color="auto" w:sz="4" w:space="0"/>
              <w:bottom w:val="single" w:color="auto" w:sz="4" w:space="0"/>
              <w:right w:val="single" w:color="auto" w:sz="4" w:space="0"/>
            </w:tcBorders>
          </w:tcPr>
          <w:p>
            <w:pPr>
              <w:rPr>
                <w:b/>
                <w:sz w:val="27"/>
                <w:szCs w:val="24"/>
              </w:rPr>
            </w:pPr>
          </w:p>
        </w:tc>
        <w:tc>
          <w:tcPr>
            <w:tcW w:w="1272"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学　历</w:t>
            </w:r>
          </w:p>
        </w:tc>
        <w:tc>
          <w:tcPr>
            <w:tcW w:w="1420"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学位类别</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毕业学校</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毕业时间</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rFonts w:ascii="宋体" w:hAnsi="宋体" w:cs="宋体"/>
                <w:b/>
                <w:kern w:val="0"/>
                <w:sz w:val="28"/>
                <w:szCs w:val="28"/>
              </w:rPr>
            </w:pPr>
            <w:r>
              <w:rPr>
                <w:rFonts w:hint="eastAsia" w:ascii="宋体" w:hAnsi="宋体" w:cs="宋体"/>
                <w:b/>
                <w:kern w:val="0"/>
                <w:sz w:val="28"/>
                <w:szCs w:val="28"/>
              </w:rPr>
              <w:t>申请学位</w:t>
            </w:r>
          </w:p>
        </w:tc>
        <w:tc>
          <w:tcPr>
            <w:tcW w:w="4260" w:type="dxa"/>
            <w:gridSpan w:val="5"/>
            <w:tcBorders>
              <w:top w:val="single" w:color="auto" w:sz="4" w:space="0"/>
              <w:left w:val="single" w:color="auto" w:sz="4" w:space="0"/>
              <w:bottom w:val="single" w:color="auto" w:sz="4" w:space="0"/>
              <w:right w:val="single" w:color="auto" w:sz="4" w:space="0"/>
            </w:tcBorders>
          </w:tcPr>
          <w:p>
            <w:pPr>
              <w:ind w:firstLine="843" w:firstLineChars="300"/>
              <w:rPr>
                <w:b/>
                <w:sz w:val="28"/>
                <w:szCs w:val="28"/>
              </w:rPr>
            </w:pPr>
            <w:r>
              <w:rPr>
                <w:rFonts w:hint="eastAsia" w:ascii="宋体" w:hAnsi="宋体" w:cs="宋体"/>
                <w:b/>
                <w:kern w:val="0"/>
                <w:sz w:val="28"/>
                <w:szCs w:val="28"/>
              </w:rPr>
              <w:t>□是      □否</w:t>
            </w:r>
          </w:p>
        </w:tc>
        <w:tc>
          <w:tcPr>
            <w:tcW w:w="1421" w:type="dxa"/>
            <w:tcBorders>
              <w:top w:val="single" w:color="auto" w:sz="4" w:space="0"/>
              <w:left w:val="single" w:color="auto" w:sz="4" w:space="0"/>
              <w:bottom w:val="single" w:color="auto" w:sz="4" w:space="0"/>
              <w:right w:val="single" w:color="auto" w:sz="4" w:space="0"/>
            </w:tcBorders>
          </w:tcPr>
          <w:p>
            <w:pPr>
              <w:rPr>
                <w:rFonts w:ascii="宋体" w:hAnsi="宋体" w:cs="宋体"/>
                <w:b/>
                <w:kern w:val="0"/>
                <w:sz w:val="29"/>
                <w:szCs w:val="21"/>
              </w:rPr>
            </w:pPr>
            <w:r>
              <w:rPr>
                <w:rFonts w:hint="eastAsia" w:ascii="宋体" w:hAnsi="宋体" w:cs="宋体"/>
                <w:b/>
                <w:kern w:val="0"/>
                <w:sz w:val="29"/>
                <w:szCs w:val="21"/>
              </w:rPr>
              <w:t>出生年月</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身份证号</w:t>
            </w:r>
          </w:p>
        </w:tc>
        <w:tc>
          <w:tcPr>
            <w:tcW w:w="7102" w:type="dxa"/>
            <w:gridSpan w:val="7"/>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工作单位</w:t>
            </w:r>
          </w:p>
        </w:tc>
        <w:tc>
          <w:tcPr>
            <w:tcW w:w="7102" w:type="dxa"/>
            <w:gridSpan w:val="7"/>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部　　门</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职 　务</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办公电话</w:t>
            </w:r>
          </w:p>
        </w:tc>
        <w:tc>
          <w:tcPr>
            <w:tcW w:w="2414" w:type="dxa"/>
            <w:gridSpan w:val="2"/>
            <w:tcBorders>
              <w:top w:val="single" w:color="auto" w:sz="4" w:space="0"/>
              <w:left w:val="single" w:color="auto" w:sz="4" w:space="0"/>
              <w:bottom w:val="single" w:color="auto" w:sz="4" w:space="0"/>
              <w:right w:val="single" w:color="auto" w:sz="4" w:space="0"/>
            </w:tcBorders>
          </w:tcPr>
          <w:p>
            <w:pPr>
              <w:rPr>
                <w:b/>
                <w:sz w:val="27"/>
                <w:szCs w:val="24"/>
              </w:rPr>
            </w:pPr>
          </w:p>
        </w:tc>
        <w:tc>
          <w:tcPr>
            <w:tcW w:w="1245" w:type="dxa"/>
            <w:gridSpan w:val="2"/>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手　 机</w:t>
            </w:r>
          </w:p>
        </w:tc>
        <w:tc>
          <w:tcPr>
            <w:tcW w:w="3443" w:type="dxa"/>
            <w:gridSpan w:val="3"/>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联系地址</w:t>
            </w:r>
          </w:p>
        </w:tc>
        <w:tc>
          <w:tcPr>
            <w:tcW w:w="4260" w:type="dxa"/>
            <w:gridSpan w:val="5"/>
            <w:tcBorders>
              <w:top w:val="single" w:color="auto" w:sz="4" w:space="0"/>
              <w:left w:val="single" w:color="auto" w:sz="4" w:space="0"/>
              <w:bottom w:val="single" w:color="auto" w:sz="4" w:space="0"/>
              <w:right w:val="single" w:color="auto" w:sz="4" w:space="0"/>
            </w:tcBorders>
          </w:tcPr>
          <w:p>
            <w:pPr>
              <w:rPr>
                <w:b/>
                <w:sz w:val="27"/>
                <w:szCs w:val="24"/>
              </w:rPr>
            </w:pP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r>
              <w:rPr>
                <w:rFonts w:hint="eastAsia" w:ascii="宋体" w:hAnsi="宋体" w:cs="宋体"/>
                <w:b/>
                <w:kern w:val="0"/>
                <w:sz w:val="29"/>
                <w:szCs w:val="21"/>
              </w:rPr>
              <w:t>邮 　箱</w:t>
            </w:r>
          </w:p>
        </w:tc>
        <w:tc>
          <w:tcPr>
            <w:tcW w:w="1421" w:type="dxa"/>
            <w:tcBorders>
              <w:top w:val="single" w:color="auto" w:sz="4" w:space="0"/>
              <w:left w:val="single" w:color="auto" w:sz="4" w:space="0"/>
              <w:bottom w:val="single" w:color="auto" w:sz="4" w:space="0"/>
              <w:right w:val="single" w:color="auto" w:sz="4" w:space="0"/>
            </w:tcBorders>
          </w:tcPr>
          <w:p>
            <w:pPr>
              <w:rPr>
                <w:b/>
                <w:sz w:val="27"/>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8522"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4"/>
                <w:szCs w:val="24"/>
              </w:rPr>
            </w:pPr>
          </w:p>
          <w:p>
            <w:pPr>
              <w:rPr>
                <w:b/>
                <w:sz w:val="24"/>
                <w:szCs w:val="20"/>
              </w:rPr>
            </w:pPr>
            <w:r>
              <w:rPr>
                <w:rFonts w:hint="eastAsia"/>
                <w:b/>
                <w:sz w:val="24"/>
              </w:rPr>
              <w:t>学员须知：</w:t>
            </w:r>
          </w:p>
          <w:p>
            <w:pPr>
              <w:ind w:left="-57" w:leftChars="-27" w:firstLine="542" w:firstLineChars="300"/>
              <w:jc w:val="left"/>
              <w:rPr>
                <w:sz w:val="18"/>
                <w:szCs w:val="18"/>
              </w:rPr>
            </w:pPr>
            <w:r>
              <w:rPr>
                <w:rFonts w:hint="eastAsia"/>
                <w:b/>
                <w:bCs/>
                <w:sz w:val="18"/>
                <w:szCs w:val="18"/>
              </w:rPr>
              <w:t>一、研修班正式开班上课后，不转专业；学员因故不能坚持研修，视为自动放弃学，不退研修费</w:t>
            </w:r>
            <w:r>
              <w:rPr>
                <w:rFonts w:hint="eastAsia"/>
                <w:b/>
                <w:sz w:val="18"/>
                <w:szCs w:val="18"/>
              </w:rPr>
              <w:t>。</w:t>
            </w:r>
          </w:p>
          <w:p>
            <w:pPr>
              <w:ind w:firstLine="2"/>
              <w:rPr>
                <w:b/>
                <w:sz w:val="27"/>
                <w:szCs w:val="24"/>
              </w:rPr>
            </w:pPr>
            <w:r>
              <w:rPr>
                <w:sz w:val="18"/>
                <w:szCs w:val="18"/>
              </w:rPr>
              <w:t xml:space="preserve">     </w:t>
            </w:r>
            <w:r>
              <w:rPr>
                <w:rFonts w:hint="eastAsia"/>
                <w:sz w:val="18"/>
                <w:szCs w:val="18"/>
              </w:rPr>
              <w:t>二、取得学士学位满</w:t>
            </w:r>
            <w:r>
              <w:rPr>
                <w:sz w:val="18"/>
                <w:szCs w:val="18"/>
              </w:rPr>
              <w:t>3</w:t>
            </w:r>
            <w:r>
              <w:rPr>
                <w:rFonts w:hint="eastAsia"/>
                <w:sz w:val="18"/>
                <w:szCs w:val="18"/>
              </w:rPr>
              <w:t>年，有资格申请硕士学位考试，取得考试资格证、并按规定缴纳考试费（考试费是全部课程的考试费不包括两门的国家考试费用）后，方可申请参加学位课考试，学位课考试包括：①</w:t>
            </w:r>
            <w:r>
              <w:rPr>
                <w:sz w:val="18"/>
                <w:szCs w:val="18"/>
              </w:rPr>
              <w:t xml:space="preserve"> 4</w:t>
            </w:r>
            <w:r>
              <w:rPr>
                <w:rFonts w:hint="eastAsia"/>
                <w:sz w:val="18"/>
                <w:szCs w:val="18"/>
              </w:rPr>
              <w:t>门题库课，考试时间是每年</w:t>
            </w:r>
            <w:r>
              <w:rPr>
                <w:sz w:val="18"/>
                <w:szCs w:val="18"/>
              </w:rPr>
              <w:t>10</w:t>
            </w:r>
            <w:r>
              <w:rPr>
                <w:rFonts w:hint="eastAsia"/>
                <w:sz w:val="18"/>
                <w:szCs w:val="18"/>
              </w:rPr>
              <w:t>月和</w:t>
            </w:r>
            <w:r>
              <w:rPr>
                <w:sz w:val="18"/>
                <w:szCs w:val="18"/>
              </w:rPr>
              <w:t>4</w:t>
            </w:r>
            <w:r>
              <w:rPr>
                <w:rFonts w:hint="eastAsia"/>
                <w:sz w:val="18"/>
                <w:szCs w:val="18"/>
              </w:rPr>
              <w:t>月，②</w:t>
            </w:r>
            <w:r>
              <w:rPr>
                <w:sz w:val="18"/>
                <w:szCs w:val="18"/>
              </w:rPr>
              <w:t xml:space="preserve"> </w:t>
            </w:r>
            <w:r>
              <w:rPr>
                <w:rFonts w:hint="eastAsia"/>
                <w:sz w:val="18"/>
                <w:szCs w:val="18"/>
              </w:rPr>
              <w:t>国家水平考试：管理综合与外国语，考试时间是每年</w:t>
            </w:r>
            <w:r>
              <w:rPr>
                <w:sz w:val="18"/>
                <w:szCs w:val="18"/>
              </w:rPr>
              <w:t>5</w:t>
            </w:r>
            <w:r>
              <w:rPr>
                <w:rFonts w:hint="eastAsia"/>
                <w:sz w:val="18"/>
                <w:szCs w:val="18"/>
              </w:rPr>
              <w:t>月下旬。③</w:t>
            </w:r>
            <w:r>
              <w:rPr>
                <w:sz w:val="18"/>
                <w:szCs w:val="18"/>
              </w:rPr>
              <w:t>.</w:t>
            </w:r>
            <w:r>
              <w:rPr>
                <w:rFonts w:hint="eastAsia"/>
                <w:sz w:val="18"/>
                <w:szCs w:val="18"/>
              </w:rPr>
              <w:t>申请考试资格的有效期为</w:t>
            </w:r>
            <w:r>
              <w:rPr>
                <w:sz w:val="18"/>
                <w:szCs w:val="18"/>
              </w:rPr>
              <w:t>5</w:t>
            </w:r>
            <w:r>
              <w:rPr>
                <w:rFonts w:hint="eastAsia"/>
                <w:sz w:val="18"/>
                <w:szCs w:val="18"/>
              </w:rPr>
              <w:t>年。</w:t>
            </w:r>
          </w:p>
        </w:tc>
      </w:tr>
    </w:tbl>
    <w:p>
      <w:pPr>
        <w:jc w:val="left"/>
        <w:rPr>
          <w:rFonts w:ascii="Times New Roman" w:hAnsi="Times New Roman" w:cs="Times New Roman"/>
          <w:szCs w:val="20"/>
        </w:rPr>
      </w:pPr>
    </w:p>
    <w:p>
      <w:pPr>
        <w:spacing w:line="360" w:lineRule="auto"/>
        <w:jc w:val="left"/>
        <w:rPr>
          <w:rFonts w:ascii="宋体" w:hAnsi="宋体"/>
          <w:szCs w:val="21"/>
        </w:rPr>
      </w:pPr>
    </w:p>
    <w:p>
      <w:pPr>
        <w:spacing w:line="360" w:lineRule="auto"/>
        <w:jc w:val="left"/>
        <w:rPr>
          <w:rFonts w:hint="eastAsia" w:ascii="Times New Roman" w:hAnsi="Times New Roman"/>
          <w:sz w:val="28"/>
          <w:szCs w:val="28"/>
        </w:rPr>
      </w:pPr>
      <w:r>
        <w:rPr>
          <w:sz w:val="32"/>
          <w:szCs w:val="32"/>
        </w:rPr>
        <w:t xml:space="preserve">         </w:t>
      </w:r>
      <w:r>
        <w:rPr>
          <w:sz w:val="28"/>
          <w:szCs w:val="28"/>
        </w:rPr>
        <w:t xml:space="preserve">  </w:t>
      </w:r>
    </w:p>
    <w:p>
      <w:pPr>
        <w:widowControl/>
        <w:shd w:val="clear" w:color="auto" w:fill="FFFFFF"/>
        <w:spacing w:line="450" w:lineRule="atLeast"/>
        <w:ind w:firstLine="420" w:firstLineChars="200"/>
        <w:jc w:val="left"/>
        <w:rPr>
          <w:rFonts w:ascii="宋体" w:hAnsi="宋体" w:cs="宋体"/>
          <w:color w:val="333333"/>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818E6"/>
    <w:rsid w:val="004B2AF0"/>
    <w:rsid w:val="0061749D"/>
    <w:rsid w:val="00B258AA"/>
    <w:rsid w:val="00B6206A"/>
    <w:rsid w:val="00C57C64"/>
    <w:rsid w:val="05A60B3A"/>
    <w:rsid w:val="05E61A3D"/>
    <w:rsid w:val="08D35782"/>
    <w:rsid w:val="0F1051E7"/>
    <w:rsid w:val="10FD3589"/>
    <w:rsid w:val="18284ADB"/>
    <w:rsid w:val="18F63A84"/>
    <w:rsid w:val="202C5CD5"/>
    <w:rsid w:val="23F53707"/>
    <w:rsid w:val="29620769"/>
    <w:rsid w:val="2B956A91"/>
    <w:rsid w:val="338E0FDD"/>
    <w:rsid w:val="33A00568"/>
    <w:rsid w:val="346C42DB"/>
    <w:rsid w:val="3AE17638"/>
    <w:rsid w:val="3B585701"/>
    <w:rsid w:val="40B35349"/>
    <w:rsid w:val="43A31996"/>
    <w:rsid w:val="44916604"/>
    <w:rsid w:val="49190C0F"/>
    <w:rsid w:val="4C564B46"/>
    <w:rsid w:val="4C8E0F05"/>
    <w:rsid w:val="4FD66F0B"/>
    <w:rsid w:val="53F36699"/>
    <w:rsid w:val="56777CE8"/>
    <w:rsid w:val="57913503"/>
    <w:rsid w:val="5C1E589F"/>
    <w:rsid w:val="6A1249C2"/>
    <w:rsid w:val="6AFA3498"/>
    <w:rsid w:val="789B714D"/>
    <w:rsid w:val="7A87713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uiPriority w:val="9"/>
    <w:pPr>
      <w:spacing w:beforeAutospacing="1" w:afterAutospacing="1"/>
      <w:jc w:val="left"/>
      <w:outlineLvl w:val="2"/>
    </w:pPr>
    <w:rPr>
      <w:rFonts w:hint="eastAsia" w:ascii="宋体" w:hAnsi="宋体" w:cs="宋体"/>
      <w:b/>
      <w:kern w:val="0"/>
      <w:sz w:val="27"/>
      <w:szCs w:val="27"/>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8"/>
    <w:qFormat/>
    <w:uiPriority w:val="0"/>
    <w:rPr>
      <w:rFonts w:hint="eastAsia" w:ascii="宋体" w:hAnsi="Courier New" w:cs="Times New Roman"/>
      <w:szCs w:val="20"/>
    </w:r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spacing w:beforeAutospacing="1" w:afterAutospacing="1"/>
      <w:jc w:val="left"/>
    </w:pPr>
    <w:rPr>
      <w:kern w:val="0"/>
      <w:sz w:val="24"/>
    </w:rPr>
  </w:style>
  <w:style w:type="character" w:styleId="10">
    <w:name w:val="Strong"/>
    <w:basedOn w:val="9"/>
    <w:qFormat/>
    <w:uiPriority w:val="22"/>
    <w:rPr>
      <w:b/>
      <w:bCs/>
    </w:rPr>
  </w:style>
  <w:style w:type="character" w:styleId="11">
    <w:name w:val="Hyperlink"/>
    <w:basedOn w:val="9"/>
    <w:unhideWhenUsed/>
    <w:qFormat/>
    <w:uiPriority w:val="0"/>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apple-converted-space"/>
    <w:basedOn w:val="9"/>
    <w:qFormat/>
    <w:uiPriority w:val="0"/>
  </w:style>
  <w:style w:type="character" w:customStyle="1" w:styleId="17">
    <w:name w:val="批注框文本 Char"/>
    <w:basedOn w:val="9"/>
    <w:link w:val="5"/>
    <w:semiHidden/>
    <w:qFormat/>
    <w:uiPriority w:val="99"/>
    <w:rPr>
      <w:sz w:val="18"/>
      <w:szCs w:val="18"/>
    </w:rPr>
  </w:style>
  <w:style w:type="character" w:customStyle="1" w:styleId="18">
    <w:name w:val="纯文本 Char"/>
    <w:basedOn w:val="9"/>
    <w:link w:val="4"/>
    <w:qFormat/>
    <w:uiPriority w:val="0"/>
    <w:rPr>
      <w:rFonts w:ascii="宋体" w:hAnsi="Courier New" w:eastAsia="宋体" w:cs="Times New Roman"/>
      <w:szCs w:val="20"/>
    </w:rPr>
  </w:style>
  <w:style w:type="character" w:customStyle="1" w:styleId="19">
    <w:name w:val="lemmatitleh11"/>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580</Words>
  <Characters>3307</Characters>
  <Lines>27</Lines>
  <Paragraphs>7</Paragraphs>
  <ScaleCrop>false</ScaleCrop>
  <LinksUpToDate>false</LinksUpToDate>
  <CharactersWithSpaces>3880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2014-07-30T08:02:00Z</dcterms:created>
  <dc:creator>chang</dc:creator>
  <cp:lastModifiedBy>Administrator</cp:lastModifiedBy>
  <dcterms:modified xsi:type="dcterms:W3CDTF">2017-03-20T06:25:58Z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