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5" w:lineRule="atLeast"/>
        <w:jc w:val="center"/>
        <w:outlineLvl w:val="2"/>
        <w:rPr>
          <w:rFonts w:ascii="宋体" w:hAnsi="宋体" w:eastAsia="宋体" w:cs="宋体"/>
          <w:b/>
          <w:bCs/>
          <w:color w:val="FF0000"/>
          <w:kern w:val="0"/>
          <w:sz w:val="34"/>
          <w:szCs w:val="34"/>
        </w:rPr>
      </w:pPr>
      <w:r>
        <w:rPr>
          <w:rFonts w:hint="eastAsia" w:ascii="宋体" w:hAnsi="宋体" w:eastAsia="宋体" w:cs="宋体"/>
          <w:b/>
          <w:bCs/>
          <w:color w:val="FF0000"/>
          <w:kern w:val="0"/>
          <w:sz w:val="34"/>
          <w:szCs w:val="34"/>
        </w:rPr>
        <w:t>厦门大学经济学院金融学专业在职研究生招生简章</w:t>
      </w:r>
    </w:p>
    <w:p>
      <w:pPr>
        <w:widowControl/>
        <w:spacing w:line="435" w:lineRule="atLeast"/>
        <w:jc w:val="center"/>
        <w:outlineLvl w:val="2"/>
        <w:rPr>
          <w:rFonts w:ascii="宋体" w:hAnsi="宋体" w:eastAsia="宋体" w:cs="宋体"/>
          <w:b/>
          <w:bCs/>
          <w:color w:val="FF0000"/>
          <w:kern w:val="0"/>
          <w:sz w:val="34"/>
          <w:szCs w:val="34"/>
        </w:rPr>
      </w:pPr>
      <w:r>
        <w:rPr>
          <w:rFonts w:hint="eastAsia" w:ascii="宋体" w:hAnsi="宋体" w:eastAsia="宋体" w:cs="宋体"/>
          <w:b/>
          <w:bCs/>
          <w:color w:val="FF0000"/>
          <w:kern w:val="0"/>
          <w:sz w:val="34"/>
          <w:szCs w:val="34"/>
        </w:rPr>
        <w:t>（广州班）</w:t>
      </w:r>
    </w:p>
    <w:p>
      <w:pPr>
        <w:widowControl/>
        <w:pBdr>
          <w:bottom w:val="single" w:color="FF0000" w:sz="12" w:space="7"/>
        </w:pBdr>
        <w:spacing w:line="299" w:lineRule="atLeast"/>
        <w:ind w:left="272" w:right="272"/>
        <w:jc w:val="center"/>
        <w:outlineLvl w:val="3"/>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xml:space="preserve">学制：2年   学费：28888元   上课地点：广州 </w:t>
      </w:r>
    </w:p>
    <w:p>
      <w:pPr>
        <w:widowControl/>
        <w:spacing w:line="299" w:lineRule="atLeast"/>
        <w:jc w:val="left"/>
        <w:rPr>
          <w:rFonts w:ascii="宋体" w:hAnsi="宋体" w:eastAsia="宋体" w:cs="宋体"/>
          <w:color w:val="333333"/>
          <w:kern w:val="0"/>
          <w:sz w:val="16"/>
          <w:szCs w:val="16"/>
        </w:rPr>
      </w:pPr>
      <w:r>
        <w:rPr>
          <w:rFonts w:hint="eastAsia" w:ascii="宋体" w:hAnsi="宋体" w:eastAsia="宋体" w:cs="宋体"/>
          <w:b/>
          <w:bCs/>
          <w:color w:val="333333"/>
          <w:kern w:val="0"/>
          <w:sz w:val="16"/>
          <w:szCs w:val="16"/>
        </w:rPr>
        <w:t>简章简介</w:t>
      </w:r>
      <w:r>
        <w:rPr>
          <w:rFonts w:hint="eastAsia" w:ascii="宋体" w:hAnsi="宋体" w:eastAsia="宋体" w:cs="宋体"/>
          <w:color w:val="333333"/>
          <w:kern w:val="0"/>
          <w:sz w:val="16"/>
          <w:szCs w:val="16"/>
        </w:rPr>
        <w:t>：厦门大学经济学院金融学专业在职研究生，学制2年，学费28888元，通过全部考试且成绩合格者，由厦门大学经济学院颁发课程进修班结业证书，符合条件者可申请硕士学位。</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为培养具有国际化视野的高层次应用型人才，厦门大学经济学院依托理论经济学、应用经济学和统计学一级学科国家级重点学科优势，举办2017年厦门大学经济类高级课程进修班。</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一、招生条件</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1.具备大专以上学历者，均可报名参加高级课程进修班学习；</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2.取得学士学位后工作3年以上者，可依据学位办要求申请经济学硕士学位。</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二、招生专业</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金融学（包括银行、证券投资、金融工程、保险、国际金融等方向）；</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三、课程特色</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【名师授课】选派厦门大学经济学院、王亚南经济研究院以及全校优秀的教师骨干，组织最精干、富有教学经验的师资队伍为学员授课，理论与实务相结合。</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【院友资源】所有学员均可加入厦门大学经济学院院友会，分享厦门大学经济学科丰富的海内外院友资源。</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【高端论坛】邀请国内外著名教授、经济学家和业界的专家来院讲学，举办高端论坛和学术讲座，学员可免费参加。</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【终身学习】学习结束后，已结业的学员可以凭学员证件免费参加厦门大学经济学院举办的高端论坛与讲座，为所有学员提供继续学习和交流的机会。</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四、课程设置</w:t>
      </w:r>
    </w:p>
    <w:tbl>
      <w:tblPr>
        <w:tblStyle w:val="9"/>
        <w:tblW w:w="8456" w:type="dxa"/>
        <w:tblInd w:w="0" w:type="dxa"/>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
      <w:tblGrid>
        <w:gridCol w:w="2350"/>
        <w:gridCol w:w="2824"/>
        <w:gridCol w:w="1641"/>
        <w:gridCol w:w="1641"/>
      </w:tblGrid>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8456" w:type="dxa"/>
            <w:gridSpan w:val="4"/>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金融学必修课程</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2350"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社会主义经济理论</w:t>
            </w:r>
          </w:p>
        </w:tc>
        <w:tc>
          <w:tcPr>
            <w:tcW w:w="282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财政学</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西方经济学</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国际经济学</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2350"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英语</w:t>
            </w:r>
          </w:p>
        </w:tc>
        <w:tc>
          <w:tcPr>
            <w:tcW w:w="282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货币银行学</w:t>
            </w:r>
          </w:p>
        </w:tc>
        <w:tc>
          <w:tcPr>
            <w:tcW w:w="3282" w:type="dxa"/>
            <w:gridSpan w:val="2"/>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商业银行经营与管理</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2350"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保险理论与实务研究</w:t>
            </w:r>
          </w:p>
        </w:tc>
        <w:tc>
          <w:tcPr>
            <w:tcW w:w="282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国际金融与外汇投资</w:t>
            </w:r>
          </w:p>
        </w:tc>
        <w:tc>
          <w:tcPr>
            <w:tcW w:w="3282" w:type="dxa"/>
            <w:gridSpan w:val="2"/>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金融衍生工具</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8456" w:type="dxa"/>
            <w:gridSpan w:val="4"/>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金融学专业选修课程</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2350"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证券金融学</w:t>
            </w:r>
          </w:p>
        </w:tc>
        <w:tc>
          <w:tcPr>
            <w:tcW w:w="282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中国金融体系和金融发展</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公司财务管理</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金融风险管理</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2350"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市场金融学</w:t>
            </w:r>
          </w:p>
        </w:tc>
        <w:tc>
          <w:tcPr>
            <w:tcW w:w="282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投资银行业务与经营</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市场营销学</w:t>
            </w:r>
          </w:p>
        </w:tc>
        <w:tc>
          <w:tcPr>
            <w:tcW w:w="1641"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bl>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（说明：课程设置以当年培养计划为准）</w:t>
      </w:r>
    </w:p>
    <w:tbl>
      <w:tblPr>
        <w:tblStyle w:val="9"/>
        <w:tblW w:w="8456" w:type="dxa"/>
        <w:tblInd w:w="0" w:type="dxa"/>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
      <w:tblGrid>
        <w:gridCol w:w="1113"/>
        <w:gridCol w:w="662"/>
        <w:gridCol w:w="3356"/>
        <w:gridCol w:w="663"/>
        <w:gridCol w:w="663"/>
        <w:gridCol w:w="1114"/>
        <w:gridCol w:w="885"/>
      </w:tblGrid>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课程类别</w:t>
            </w:r>
          </w:p>
        </w:tc>
        <w:tc>
          <w:tcPr>
            <w:tcW w:w="662"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序号</w:t>
            </w:r>
          </w:p>
        </w:tc>
        <w:tc>
          <w:tcPr>
            <w:tcW w:w="3356"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课程名称</w:t>
            </w:r>
          </w:p>
        </w:tc>
        <w:tc>
          <w:tcPr>
            <w:tcW w:w="663"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学时</w:t>
            </w:r>
          </w:p>
        </w:tc>
        <w:tc>
          <w:tcPr>
            <w:tcW w:w="663"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学分</w:t>
            </w:r>
          </w:p>
        </w:tc>
        <w:tc>
          <w:tcPr>
            <w:tcW w:w="1114"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任课教师</w:t>
            </w:r>
          </w:p>
        </w:tc>
        <w:tc>
          <w:tcPr>
            <w:tcW w:w="885" w:type="dxa"/>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职称</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restart"/>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必修课</w:t>
            </w: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西方经济学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张定忠</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社会主义经济理论</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林民书</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英语</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陶慧</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财政与税收理论研究（财政学）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刘晔</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国际经济学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卢盛荣</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货币银行学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邱崇明</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restart"/>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学位课</w:t>
            </w: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商业银行经营与管理</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李子白</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国际金融于外汇投资</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吴丽华</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金融衍生工具</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陈淼鑫</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证券投资基金理论与政策</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徐宝林</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计量经济学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陈国进</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货币金融理论</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张亦春</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投资银行学与资本市场</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郑鸣</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保险学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郑荣鸣</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高级公司金融</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赵向琴</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restart"/>
            <w:tcBorders>
              <w:top w:val="outset" w:color="BECCDB" w:sz="6" w:space="0"/>
              <w:left w:val="outset" w:color="BECCDB" w:sz="6" w:space="0"/>
              <w:bottom w:val="outset" w:color="BECCDB" w:sz="6" w:space="0"/>
              <w:right w:val="outset" w:color="BECCDB" w:sz="6" w:space="0"/>
            </w:tcBorders>
            <w:shd w:val="clear" w:color="auto" w:fill="F3F7F8"/>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b/>
                <w:bCs/>
                <w:color w:val="000000"/>
                <w:kern w:val="0"/>
                <w:sz w:val="16"/>
              </w:rPr>
              <w:t>选修课</w:t>
            </w: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市场营销学</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陈贺菁</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公司财务管理</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覃志刚</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金融机构与风险管理</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陈蓉</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教授</w:t>
            </w:r>
          </w:p>
        </w:tc>
      </w:tr>
      <w:tr>
        <w:tblPrEx>
          <w:tblBorders>
            <w:top w:val="outset" w:color="BECCDB" w:sz="6" w:space="0"/>
            <w:left w:val="outset" w:color="BECCDB" w:sz="6" w:space="0"/>
            <w:bottom w:val="outset" w:color="BECCDB" w:sz="6" w:space="0"/>
            <w:right w:val="outset" w:color="BECCDB" w:sz="6" w:space="0"/>
            <w:insideH w:val="none" w:color="auto" w:sz="0" w:space="0"/>
            <w:insideV w:val="none" w:color="auto" w:sz="0" w:space="0"/>
          </w:tblBorders>
          <w:tblLayout w:type="fixed"/>
          <w:tblCellMar>
            <w:top w:w="75" w:type="dxa"/>
            <w:left w:w="75" w:type="dxa"/>
            <w:bottom w:w="75" w:type="dxa"/>
            <w:right w:w="75" w:type="dxa"/>
          </w:tblCellMar>
        </w:tblPrEx>
        <w:tc>
          <w:tcPr>
            <w:tcW w:w="1113" w:type="dxa"/>
            <w:vMerge w:val="continue"/>
            <w:tcBorders>
              <w:top w:val="outset" w:color="BECCDB" w:sz="6" w:space="0"/>
              <w:left w:val="outset" w:color="BECCDB" w:sz="6" w:space="0"/>
              <w:bottom w:val="outset" w:color="BECCDB" w:sz="6" w:space="0"/>
              <w:right w:val="outset" w:color="BECCDB" w:sz="6" w:space="0"/>
            </w:tcBorders>
            <w:vAlign w:val="center"/>
          </w:tcPr>
          <w:p>
            <w:pPr>
              <w:widowControl/>
              <w:jc w:val="left"/>
              <w:rPr>
                <w:rFonts w:ascii="宋体" w:hAnsi="宋体" w:eastAsia="宋体" w:cs="宋体"/>
                <w:color w:val="000000"/>
                <w:kern w:val="0"/>
                <w:sz w:val="16"/>
                <w:szCs w:val="16"/>
              </w:rPr>
            </w:pPr>
          </w:p>
        </w:tc>
        <w:tc>
          <w:tcPr>
            <w:tcW w:w="662"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3356"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金融工程</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663"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114"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陈坚</w:t>
            </w:r>
          </w:p>
        </w:tc>
        <w:tc>
          <w:tcPr>
            <w:tcW w:w="885" w:type="dxa"/>
            <w:tcBorders>
              <w:top w:val="outset" w:color="BECCDB" w:sz="6" w:space="0"/>
              <w:left w:val="outset" w:color="BECCDB" w:sz="6" w:space="0"/>
              <w:bottom w:val="outset" w:color="BECCDB" w:sz="6" w:space="0"/>
              <w:right w:val="outset" w:color="BECCDB" w:sz="6" w:space="0"/>
            </w:tcBorders>
            <w:vAlign w:val="center"/>
          </w:tcPr>
          <w:p>
            <w:pPr>
              <w:widowControl/>
              <w:spacing w:line="299" w:lineRule="atLeas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副教授</w:t>
            </w:r>
          </w:p>
        </w:tc>
      </w:tr>
    </w:tbl>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五、培养方式</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1.学制2年；</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2.面授与自学相结合，双休日授课，平均两个月安排3个周末。</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六、结业与证书</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学员按培养计划修完规定的课程，通过全部考试且成绩合格者，由厦门大学经济学院颁发课程进修班结业证书。</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七、申请硕士学位</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获得学士学位后工作3年以上的在职人员可以依据《国务院学位委员会关于授予具有研究生毕业同等学力人员硕士、博士学位的规定》报名参加硕士学位的申请。</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八、</w:t>
      </w:r>
      <w:r>
        <w:fldChar w:fldCharType="begin"/>
      </w:r>
      <w:r>
        <w:instrText xml:space="preserve"> HYPERLINK "http://www.eduego.com/special-1.html" \t "_blank" </w:instrText>
      </w:r>
      <w:r>
        <w:fldChar w:fldCharType="separate"/>
      </w:r>
      <w:r>
        <w:rPr>
          <w:rFonts w:hint="eastAsia" w:ascii="宋体" w:hAnsi="宋体" w:eastAsia="宋体" w:cs="宋体"/>
          <w:b/>
          <w:bCs/>
          <w:color w:val="333333"/>
          <w:kern w:val="0"/>
          <w:sz w:val="19"/>
        </w:rPr>
        <w:t>同等学力申硕</w:t>
      </w:r>
      <w:r>
        <w:rPr>
          <w:rFonts w:hint="eastAsia" w:ascii="宋体" w:hAnsi="宋体" w:eastAsia="宋体" w:cs="宋体"/>
          <w:b/>
          <w:bCs/>
          <w:color w:val="333333"/>
          <w:kern w:val="0"/>
          <w:sz w:val="19"/>
        </w:rPr>
        <w:fldChar w:fldCharType="end"/>
      </w:r>
      <w:r>
        <w:rPr>
          <w:rFonts w:hint="eastAsia" w:ascii="宋体" w:hAnsi="宋体" w:eastAsia="宋体" w:cs="宋体"/>
          <w:b/>
          <w:bCs/>
          <w:color w:val="FF0000"/>
          <w:kern w:val="0"/>
          <w:sz w:val="19"/>
        </w:rPr>
        <w:t>说明</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1、参加</w:t>
      </w:r>
      <w:r>
        <w:fldChar w:fldCharType="begin"/>
      </w:r>
      <w:r>
        <w:instrText xml:space="preserve"> HYPERLINK "http://www.eduego.com/special-1.html" \t "_blank" </w:instrText>
      </w:r>
      <w:r>
        <w:fldChar w:fldCharType="separate"/>
      </w:r>
      <w:r>
        <w:rPr>
          <w:rFonts w:hint="eastAsia" w:ascii="宋体" w:hAnsi="宋体" w:eastAsia="宋体" w:cs="宋体"/>
          <w:b/>
          <w:bCs/>
          <w:color w:val="333333"/>
          <w:kern w:val="0"/>
          <w:sz w:val="19"/>
          <w:szCs w:val="19"/>
        </w:rPr>
        <w:t>同等学力申硕</w:t>
      </w:r>
      <w:r>
        <w:rPr>
          <w:rFonts w:hint="eastAsia" w:ascii="宋体" w:hAnsi="宋体" w:eastAsia="宋体" w:cs="宋体"/>
          <w:b/>
          <w:bCs/>
          <w:color w:val="333333"/>
          <w:kern w:val="0"/>
          <w:sz w:val="19"/>
          <w:szCs w:val="19"/>
        </w:rPr>
        <w:fldChar w:fldCharType="end"/>
      </w:r>
      <w:r>
        <w:rPr>
          <w:rFonts w:hint="eastAsia" w:ascii="宋体" w:hAnsi="宋体" w:eastAsia="宋体" w:cs="宋体"/>
          <w:b/>
          <w:bCs/>
          <w:color w:val="333333"/>
          <w:kern w:val="0"/>
          <w:sz w:val="19"/>
          <w:szCs w:val="19"/>
        </w:rPr>
        <w:t>考试的报名资格必须具备学士学位获得后工作满三年（即报名当年的3月底以前获得学士学位已满3年）；</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2、同等学力申请硕士学位考试每年举办一次，报名时间一般为3月中下旬，考试时间为5月的最后一个周日。</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3、同等学力申请硕士学位考试为国家考试，考试科目为英语（外语）和经济学学科综合(社会主义经济理论，西方经济学，国际经济学，财政学和货币银行）五门课程范围，其它课程不在国考范围内，其它只需参加校考）。考试机会为4次，即4年内通过英语和经济学学科综合考，考过一门分数保留一门，不要求两门同时过。</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4、获得研究生课程班结业证书并通过国家两门考试（英语和经济学学科综合）可于每年3月或9月向厦门大学提交材料，并以同等学力申请论文阶段。通过硕士学位论文答辩，有厦大大学颁发国家统一印制的经济学硕士学位证书。学位证书编号可通过教育部专门网站进行验证。</w:t>
      </w:r>
    </w:p>
    <w:p>
      <w:pPr>
        <w:widowControl/>
        <w:spacing w:line="353" w:lineRule="atLeast"/>
        <w:jc w:val="left"/>
        <w:outlineLvl w:val="4"/>
        <w:rPr>
          <w:rFonts w:ascii="宋体" w:hAnsi="宋体" w:eastAsia="宋体" w:cs="宋体"/>
          <w:b/>
          <w:bCs/>
          <w:color w:val="FF0000"/>
          <w:kern w:val="0"/>
          <w:sz w:val="19"/>
        </w:rPr>
      </w:pPr>
      <w:r>
        <w:rPr>
          <w:rFonts w:hint="eastAsia" w:ascii="宋体" w:hAnsi="宋体" w:eastAsia="宋体" w:cs="宋体"/>
          <w:b/>
          <w:bCs/>
          <w:color w:val="FF0000"/>
          <w:kern w:val="0"/>
          <w:sz w:val="19"/>
        </w:rPr>
        <w:t>　　</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九、收费标准</w:t>
      </w:r>
    </w:p>
    <w:p>
      <w:pPr>
        <w:shd w:val="clear" w:color="auto" w:fill="FFFFFF"/>
        <w:spacing w:line="432" w:lineRule="atLeast"/>
        <w:rPr>
          <w:rFonts w:ascii="Arial" w:hAnsi="Arial" w:eastAsia="宋体" w:cs="Arial"/>
          <w:b/>
          <w:color w:val="373737"/>
          <w:kern w:val="0"/>
          <w:sz w:val="20"/>
          <w:szCs w:val="20"/>
        </w:rPr>
      </w:pPr>
      <w:r>
        <w:rPr>
          <w:rFonts w:hint="eastAsia" w:ascii="Arial" w:hAnsi="Arial" w:eastAsia="宋体" w:cs="Arial"/>
          <w:b/>
          <w:color w:val="373737"/>
          <w:kern w:val="0"/>
          <w:sz w:val="20"/>
          <w:szCs w:val="20"/>
        </w:rPr>
        <w:t>1）报名审核费</w:t>
      </w:r>
    </w:p>
    <w:p>
      <w:pPr>
        <w:shd w:val="clear" w:color="auto" w:fill="FFFFFF"/>
        <w:spacing w:line="432" w:lineRule="atLeast"/>
        <w:rPr>
          <w:rFonts w:ascii="Arial" w:hAnsi="Arial" w:eastAsia="宋体" w:cs="Arial"/>
          <w:b/>
          <w:color w:val="373737"/>
          <w:kern w:val="0"/>
          <w:sz w:val="16"/>
          <w:szCs w:val="16"/>
        </w:rPr>
      </w:pPr>
      <w:r>
        <w:rPr>
          <w:rFonts w:hint="eastAsia" w:ascii="Arial" w:hAnsi="Arial" w:eastAsia="宋体" w:cs="Arial"/>
          <w:b/>
          <w:color w:val="373737"/>
          <w:kern w:val="0"/>
          <w:sz w:val="20"/>
          <w:szCs w:val="20"/>
        </w:rPr>
        <w:t>2）课程研修班学费</w:t>
      </w:r>
      <w:r>
        <w:rPr>
          <w:rFonts w:ascii="Arial" w:hAnsi="Arial" w:eastAsia="宋体" w:cs="Arial"/>
          <w:b/>
          <w:color w:val="373737"/>
          <w:kern w:val="0"/>
          <w:sz w:val="20"/>
          <w:szCs w:val="20"/>
        </w:rPr>
        <w:t>：28888元</w:t>
      </w:r>
      <w:r>
        <w:rPr>
          <w:rFonts w:hint="eastAsia" w:ascii="Arial" w:hAnsi="Arial" w:eastAsia="宋体" w:cs="Arial"/>
          <w:b/>
          <w:color w:val="373737"/>
          <w:kern w:val="0"/>
          <w:sz w:val="16"/>
          <w:szCs w:val="16"/>
        </w:rPr>
        <w:t>，</w:t>
      </w:r>
      <w:r>
        <w:rPr>
          <w:rFonts w:ascii="Arial" w:hAnsi="Arial" w:eastAsia="宋体" w:cs="Arial"/>
          <w:b/>
          <w:color w:val="373737"/>
          <w:kern w:val="0"/>
          <w:sz w:val="20"/>
          <w:szCs w:val="20"/>
        </w:rPr>
        <w:t>学费需在通过报名审核后一次性转入厦门大学（入学后不得退学费）</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【开户银行】：工商银行厦大支行</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【户　　名】：厦门大学</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【账　　号】：41000 21709 02490 4620</w:t>
      </w: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　　特别提醒：汇款凭单上须写明“经院厦门GZ课程班XXX”。</w:t>
      </w:r>
    </w:p>
    <w:p>
      <w:pPr>
        <w:widowControl/>
        <w:spacing w:line="353" w:lineRule="atLeast"/>
        <w:jc w:val="left"/>
        <w:outlineLvl w:val="4"/>
        <w:rPr>
          <w:rFonts w:ascii="宋体" w:hAnsi="宋体" w:eastAsia="宋体" w:cs="宋体"/>
          <w:b/>
          <w:bCs/>
          <w:color w:val="333333"/>
          <w:kern w:val="0"/>
          <w:sz w:val="19"/>
          <w:szCs w:val="19"/>
        </w:rPr>
      </w:pPr>
      <w:r>
        <w:rPr>
          <w:rFonts w:hint="eastAsia" w:ascii="Arial" w:hAnsi="Arial" w:eastAsia="宋体" w:cs="Arial"/>
          <w:b/>
          <w:color w:val="373737"/>
          <w:kern w:val="0"/>
          <w:sz w:val="20"/>
          <w:szCs w:val="20"/>
        </w:rPr>
        <w:t>3）</w:t>
      </w:r>
      <w:r>
        <w:rPr>
          <w:rFonts w:hint="eastAsia" w:ascii="宋体" w:hAnsi="宋体" w:eastAsia="宋体" w:cs="宋体"/>
          <w:b/>
          <w:bCs/>
          <w:color w:val="333333"/>
          <w:kern w:val="0"/>
          <w:sz w:val="19"/>
          <w:szCs w:val="19"/>
        </w:rPr>
        <w:t>增值服务费（申硕指导，教材资料、异地班务管理。沙龙，文体活动等） </w:t>
      </w:r>
    </w:p>
    <w:p>
      <w:pPr>
        <w:widowControl/>
        <w:spacing w:line="353" w:lineRule="atLeast"/>
        <w:jc w:val="left"/>
        <w:outlineLvl w:val="4"/>
        <w:rPr>
          <w:rFonts w:ascii="宋体" w:hAnsi="宋体" w:eastAsia="宋体" w:cs="宋体"/>
          <w:b/>
          <w:bCs/>
          <w:color w:val="333333"/>
          <w:kern w:val="0"/>
          <w:sz w:val="19"/>
          <w:szCs w:val="19"/>
        </w:rPr>
      </w:pPr>
    </w:p>
    <w:p>
      <w:pPr>
        <w:widowControl/>
        <w:spacing w:line="353" w:lineRule="atLeast"/>
        <w:jc w:val="left"/>
        <w:outlineLvl w:val="4"/>
        <w:rPr>
          <w:rFonts w:ascii="宋体" w:hAnsi="宋体" w:eastAsia="宋体" w:cs="宋体"/>
          <w:b/>
          <w:bCs/>
          <w:color w:val="333333"/>
          <w:kern w:val="0"/>
          <w:sz w:val="19"/>
          <w:szCs w:val="19"/>
        </w:rPr>
      </w:pPr>
      <w:r>
        <w:rPr>
          <w:rFonts w:hint="eastAsia" w:ascii="宋体" w:hAnsi="宋体" w:eastAsia="宋体" w:cs="宋体"/>
          <w:b/>
          <w:bCs/>
          <w:color w:val="FF0000"/>
          <w:kern w:val="0"/>
          <w:sz w:val="19"/>
        </w:rPr>
        <w:t>十、报名方式</w:t>
      </w:r>
    </w:p>
    <w:p>
      <w:pPr>
        <w:widowControl/>
        <w:jc w:val="left"/>
        <w:rPr>
          <w:rFonts w:ascii="宋体" w:hAnsi="宋体" w:cs="宋体"/>
          <w:b/>
          <w:kern w:val="0"/>
          <w:sz w:val="24"/>
          <w:szCs w:val="24"/>
        </w:rPr>
      </w:pPr>
      <w:r>
        <w:rPr>
          <w:rFonts w:hint="eastAsia" w:ascii="宋体" w:hAnsi="宋体" w:eastAsia="宋体" w:cs="宋体"/>
          <w:b/>
          <w:bCs/>
          <w:color w:val="333333"/>
          <w:kern w:val="0"/>
          <w:sz w:val="19"/>
          <w:szCs w:val="19"/>
        </w:rPr>
        <w:t>　　1、报名时间：即日起开始报名，额满开班</w:t>
      </w:r>
      <w:r>
        <w:rPr>
          <w:rFonts w:hint="eastAsia" w:ascii="宋体" w:hAnsi="宋体" w:eastAsia="宋体" w:cs="宋体"/>
          <w:b/>
          <w:bCs/>
          <w:color w:val="333333"/>
          <w:kern w:val="0"/>
          <w:sz w:val="19"/>
          <w:szCs w:val="19"/>
        </w:rPr>
        <w:br w:type="textWrapping"/>
      </w:r>
      <w:r>
        <w:rPr>
          <w:rFonts w:hint="eastAsia" w:ascii="宋体" w:hAnsi="宋体" w:eastAsia="宋体" w:cs="宋体"/>
          <w:b/>
          <w:bCs/>
          <w:color w:val="333333"/>
          <w:kern w:val="0"/>
          <w:sz w:val="19"/>
          <w:szCs w:val="19"/>
        </w:rPr>
        <w:t>　　2、报名手续：</w:t>
      </w:r>
      <w:r>
        <w:rPr>
          <w:rFonts w:hint="eastAsia" w:ascii="宋体" w:hAnsi="宋体" w:eastAsia="宋体" w:cs="宋体"/>
          <w:b/>
          <w:bCs/>
          <w:color w:val="333333"/>
          <w:kern w:val="0"/>
          <w:sz w:val="19"/>
          <w:szCs w:val="19"/>
        </w:rPr>
        <w:br w:type="textWrapping"/>
      </w:r>
      <w:r>
        <w:rPr>
          <w:rFonts w:hint="eastAsia" w:ascii="宋体" w:hAnsi="宋体" w:eastAsia="宋体" w:cs="宋体"/>
          <w:b/>
          <w:bCs/>
          <w:color w:val="333333"/>
          <w:kern w:val="0"/>
          <w:sz w:val="19"/>
          <w:szCs w:val="19"/>
        </w:rPr>
        <w:t>　　　</w:t>
      </w:r>
      <w:r>
        <w:rPr>
          <w:rFonts w:hint="eastAsia" w:ascii="宋体" w:hAnsi="宋体" w:cs="宋体"/>
          <w:b/>
          <w:kern w:val="0"/>
          <w:sz w:val="24"/>
          <w:szCs w:val="24"/>
        </w:rPr>
        <w:t xml:space="preserve">  </w:t>
      </w:r>
      <w:r>
        <w:rPr>
          <w:rFonts w:hint="eastAsia" w:ascii="宋体" w:hAnsi="宋体" w:eastAsia="宋体" w:cs="宋体"/>
          <w:b/>
          <w:bCs/>
          <w:color w:val="333333"/>
          <w:kern w:val="0"/>
          <w:sz w:val="19"/>
          <w:szCs w:val="19"/>
        </w:rPr>
        <w:t>（1）填写《厦门大学课程进修班学员报名登记表》并交纳报名审核费；</w:t>
      </w:r>
    </w:p>
    <w:p>
      <w:pPr>
        <w:widowControl/>
        <w:spacing w:line="353" w:lineRule="atLeast"/>
        <w:ind w:left="420" w:firstLine="420"/>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（2）本人学士学位证书复印件、身份证复印件、毕业证书复印件。（邮件报名直接回传电</w:t>
      </w:r>
      <w:r>
        <w:rPr>
          <w:rFonts w:hint="eastAsia" w:ascii="宋体" w:hAnsi="宋体" w:eastAsia="宋体" w:cs="宋体"/>
          <w:b/>
          <w:bCs/>
          <w:color w:val="333333"/>
          <w:kern w:val="0"/>
          <w:sz w:val="19"/>
          <w:szCs w:val="19"/>
        </w:rPr>
        <w:tab/>
      </w:r>
      <w:r>
        <w:rPr>
          <w:rFonts w:hint="eastAsia" w:ascii="宋体" w:hAnsi="宋体" w:eastAsia="宋体" w:cs="宋体"/>
          <w:b/>
          <w:bCs/>
          <w:color w:val="333333"/>
          <w:kern w:val="0"/>
          <w:sz w:val="19"/>
          <w:szCs w:val="19"/>
        </w:rPr>
        <w:t>子版资料即可，学历学位扫描件或是直接手机拍照）</w:t>
      </w:r>
    </w:p>
    <w:p>
      <w:pPr>
        <w:widowControl/>
        <w:spacing w:line="353" w:lineRule="atLeast"/>
        <w:ind w:left="420" w:firstLine="420"/>
        <w:jc w:val="left"/>
        <w:outlineLvl w:val="4"/>
        <w:rPr>
          <w:rFonts w:ascii="宋体" w:hAnsi="宋体" w:eastAsia="宋体" w:cs="宋体"/>
          <w:b/>
          <w:bCs/>
          <w:color w:val="333333"/>
          <w:kern w:val="0"/>
          <w:sz w:val="19"/>
          <w:szCs w:val="19"/>
        </w:rPr>
      </w:pPr>
      <w:r>
        <w:rPr>
          <w:rFonts w:hint="eastAsia" w:ascii="宋体" w:hAnsi="宋体" w:eastAsia="宋体" w:cs="宋体"/>
          <w:b/>
          <w:bCs/>
          <w:color w:val="333333"/>
          <w:kern w:val="0"/>
          <w:sz w:val="19"/>
          <w:szCs w:val="19"/>
        </w:rPr>
        <w:t>（3）开课前提交1张一寸+2张两寸（同一底板彩照）</w:t>
      </w:r>
    </w:p>
    <w:p>
      <w:pPr>
        <w:widowControl/>
        <w:spacing w:line="353" w:lineRule="atLeast"/>
        <w:jc w:val="left"/>
        <w:outlineLvl w:val="4"/>
        <w:rPr>
          <w:rFonts w:ascii="宋体" w:hAnsi="宋体"/>
          <w:b/>
          <w:bCs/>
          <w:color w:val="333333"/>
          <w:kern w:val="0"/>
          <w:sz w:val="19"/>
          <w:szCs w:val="19"/>
        </w:rPr>
      </w:pPr>
      <w:r>
        <w:rPr>
          <w:rFonts w:hint="eastAsia" w:ascii="宋体" w:hAnsi="宋体" w:eastAsia="宋体" w:cs="宋体"/>
          <w:b/>
          <w:bCs/>
          <w:color w:val="333333"/>
          <w:kern w:val="0"/>
          <w:sz w:val="19"/>
          <w:szCs w:val="19"/>
        </w:rPr>
        <w:t>注：交付学校审核的本科毕业证、学士学位证书、身份证必须真实有效，若因证书不真实造成后果，一切责任有本人自负。</w:t>
      </w:r>
      <w:r>
        <w:rPr>
          <w:rFonts w:hint="eastAsia" w:ascii="宋体" w:hAnsi="宋体" w:eastAsia="宋体" w:cs="宋体"/>
          <w:b/>
          <w:bCs/>
          <w:color w:val="333333"/>
          <w:kern w:val="0"/>
          <w:sz w:val="19"/>
          <w:szCs w:val="19"/>
        </w:rPr>
        <w:br w:type="textWrapping"/>
      </w:r>
      <w:r>
        <w:rPr>
          <w:rFonts w:hint="eastAsia" w:ascii="宋体" w:hAnsi="宋体"/>
          <w:b/>
          <w:bCs/>
          <w:color w:val="333333"/>
          <w:kern w:val="0"/>
          <w:sz w:val="19"/>
          <w:szCs w:val="19"/>
        </w:rPr>
        <w:br w:type="textWrapping"/>
      </w:r>
      <w:r>
        <w:rPr>
          <w:rFonts w:hint="eastAsia" w:ascii="宋体" w:hAnsi="宋体"/>
          <w:b/>
          <w:bCs/>
          <w:color w:val="FF0000"/>
          <w:kern w:val="0"/>
          <w:sz w:val="19"/>
          <w:szCs w:val="19"/>
        </w:rPr>
        <w:t>十一、在职读硕需要做好四大准备</w:t>
      </w:r>
      <w:r>
        <w:rPr>
          <w:rFonts w:hint="eastAsia" w:ascii="宋体" w:hAnsi="宋体"/>
          <w:b/>
          <w:bCs/>
          <w:color w:val="333333"/>
          <w:kern w:val="0"/>
          <w:sz w:val="19"/>
          <w:szCs w:val="19"/>
        </w:rPr>
        <w:br w:type="textWrapping"/>
      </w:r>
      <w:r>
        <w:rPr>
          <w:rFonts w:hint="eastAsia" w:ascii="宋体" w:hAnsi="宋体"/>
          <w:b/>
          <w:bCs/>
          <w:color w:val="333333"/>
          <w:kern w:val="0"/>
          <w:sz w:val="19"/>
          <w:szCs w:val="19"/>
        </w:rPr>
        <w:t xml:space="preserve">  ①职业规划准备：首先要做好职业规划。需要根据本科专业、目前所从事的职业与职位、兴趣爱好、职业发展目标等因素，进行综合考虑是否攻读硕士学位； </w:t>
      </w:r>
      <w:r>
        <w:rPr>
          <w:rFonts w:hint="eastAsia" w:ascii="宋体" w:hAnsi="宋体"/>
          <w:b/>
          <w:bCs/>
          <w:color w:val="333333"/>
          <w:kern w:val="0"/>
          <w:sz w:val="19"/>
          <w:szCs w:val="19"/>
        </w:rPr>
        <w:br w:type="textWrapping"/>
      </w:r>
      <w:r>
        <w:rPr>
          <w:rFonts w:hint="eastAsia" w:ascii="宋体" w:hAnsi="宋体"/>
          <w:b/>
          <w:bCs/>
          <w:color w:val="333333"/>
          <w:kern w:val="0"/>
          <w:sz w:val="19"/>
          <w:szCs w:val="19"/>
        </w:rPr>
        <w:t xml:space="preserve">  ②方式选择的准备：攻读硕士学位有不同的方式，各种方式有各自的优势与不足，在职人士要挖掘自身的实际情况和深造要求做出选择； </w:t>
      </w:r>
      <w:r>
        <w:rPr>
          <w:rFonts w:hint="eastAsia" w:ascii="宋体" w:hAnsi="宋体"/>
          <w:b/>
          <w:bCs/>
          <w:color w:val="333333"/>
          <w:kern w:val="0"/>
          <w:sz w:val="19"/>
          <w:szCs w:val="19"/>
        </w:rPr>
        <w:br w:type="textWrapping"/>
      </w:r>
      <w:r>
        <w:rPr>
          <w:rFonts w:hint="eastAsia" w:ascii="宋体" w:hAnsi="宋体"/>
          <w:b/>
          <w:bCs/>
          <w:color w:val="333333"/>
          <w:kern w:val="0"/>
          <w:sz w:val="19"/>
          <w:szCs w:val="19"/>
        </w:rPr>
        <w:t xml:space="preserve">  ③专业方向选择的准备：专业方向选择包括学校选择和专业选择两部分。在职人士可通过各招生院校的网站了解相关学校及专业信息；并根据自身知识基础和能力水平报考合适的学校及专业； </w:t>
      </w:r>
      <w:r>
        <w:rPr>
          <w:rFonts w:hint="eastAsia" w:ascii="宋体" w:hAnsi="宋体"/>
          <w:b/>
          <w:bCs/>
          <w:color w:val="333333"/>
          <w:kern w:val="0"/>
          <w:sz w:val="19"/>
          <w:szCs w:val="19"/>
        </w:rPr>
        <w:br w:type="textWrapping"/>
      </w:r>
      <w:r>
        <w:rPr>
          <w:rFonts w:hint="eastAsia" w:ascii="宋体" w:hAnsi="宋体"/>
          <w:b/>
          <w:bCs/>
          <w:color w:val="333333"/>
          <w:kern w:val="0"/>
          <w:sz w:val="19"/>
          <w:szCs w:val="19"/>
        </w:rPr>
        <w:t xml:space="preserve">  ④财力、时间的准备：读硕是一场持久战，更是一项昂贵的投资，无论是选择全日制读硕还是在职班，都要在金钱上做好充分的准备，时间上做好适当调剂和安排。</w:t>
      </w:r>
    </w:p>
    <w:p>
      <w:pPr>
        <w:widowControl/>
        <w:spacing w:line="353" w:lineRule="atLeast"/>
        <w:jc w:val="left"/>
        <w:outlineLvl w:val="4"/>
        <w:rPr>
          <w:rFonts w:ascii="宋体" w:hAnsi="宋体"/>
          <w:b/>
          <w:bCs/>
          <w:color w:val="333333"/>
          <w:kern w:val="0"/>
          <w:sz w:val="19"/>
          <w:szCs w:val="19"/>
        </w:rPr>
      </w:pPr>
    </w:p>
    <w:p>
      <w:pPr>
        <w:widowControl/>
        <w:spacing w:line="312" w:lineRule="atLeast"/>
        <w:jc w:val="left"/>
        <w:outlineLvl w:val="2"/>
        <w:rPr>
          <w:rFonts w:ascii="宋体" w:hAnsi="宋体" w:eastAsia="宋体" w:cs="宋体"/>
          <w:b/>
          <w:bCs/>
          <w:color w:val="FF0000"/>
          <w:kern w:val="0"/>
          <w:sz w:val="27"/>
          <w:szCs w:val="27"/>
        </w:rPr>
      </w:pPr>
      <w:r>
        <w:rPr>
          <w:rFonts w:hint="eastAsia" w:ascii="宋体" w:hAnsi="宋体" w:eastAsia="宋体" w:cs="宋体"/>
          <w:b/>
          <w:bCs/>
          <w:color w:val="FF0000"/>
          <w:kern w:val="0"/>
          <w:sz w:val="27"/>
          <w:szCs w:val="27"/>
        </w:rPr>
        <w:t>★联系方式</w:t>
      </w:r>
    </w:p>
    <w:p>
      <w:pPr>
        <w:widowControl/>
        <w:spacing w:line="353" w:lineRule="atLeast"/>
        <w:jc w:val="left"/>
        <w:outlineLvl w:val="4"/>
        <w:rPr>
          <w:rFonts w:hint="eastAsia" w:ascii="宋体" w:hAnsi="宋体" w:cs="宋体"/>
          <w:b/>
          <w:bCs/>
          <w:kern w:val="0"/>
          <w:sz w:val="24"/>
        </w:rPr>
      </w:pPr>
      <w:r>
        <w:rPr>
          <w:rFonts w:hint="eastAsia" w:ascii="宋体" w:hAnsi="宋体" w:cs="宋体"/>
          <w:b/>
          <w:bCs/>
          <w:kern w:val="0"/>
          <w:sz w:val="24"/>
        </w:rPr>
        <w:t>课程咨询：王老师、陈老师</w:t>
      </w:r>
    </w:p>
    <w:p>
      <w:pPr>
        <w:widowControl/>
        <w:spacing w:line="353" w:lineRule="atLeast"/>
        <w:jc w:val="left"/>
        <w:outlineLvl w:val="4"/>
      </w:pPr>
      <w:r>
        <w:rPr>
          <w:rFonts w:hint="eastAsia" w:ascii="宋体" w:hAnsi="宋体" w:cs="宋体"/>
          <w:b/>
          <w:bCs/>
          <w:kern w:val="0"/>
          <w:sz w:val="24"/>
        </w:rPr>
        <w:t>电话： 010-59480917</w:t>
      </w: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p>
    <w:p>
      <w:pPr>
        <w:widowControl/>
        <w:spacing w:line="353" w:lineRule="atLeast"/>
        <w:jc w:val="left"/>
        <w:outlineLvl w:val="4"/>
      </w:pPr>
      <w:bookmarkStart w:id="0" w:name="_GoBack"/>
      <w:bookmarkEnd w:id="0"/>
    </w:p>
    <w:p>
      <w:pPr>
        <w:widowControl/>
        <w:spacing w:line="353" w:lineRule="atLeast"/>
        <w:jc w:val="left"/>
        <w:outlineLvl w:val="4"/>
      </w:pPr>
    </w:p>
    <w:p>
      <w:pPr>
        <w:rPr>
          <w:rFonts w:hint="eastAsia" w:ascii="黑体" w:hAnsi="宋体" w:eastAsia="黑体"/>
          <w:szCs w:val="21"/>
        </w:rPr>
      </w:pPr>
    </w:p>
    <w:p>
      <w:pPr>
        <w:rPr>
          <w:rFonts w:hint="eastAsia" w:ascii="黑体" w:hAnsi="宋体" w:eastAsia="黑体"/>
          <w:szCs w:val="21"/>
        </w:rPr>
      </w:pPr>
    </w:p>
    <w:p>
      <w:pPr>
        <w:rPr>
          <w:rFonts w:hint="eastAsia" w:ascii="黑体" w:hAnsi="宋体" w:eastAsia="黑体"/>
          <w:szCs w:val="21"/>
        </w:rPr>
      </w:pPr>
    </w:p>
    <w:p>
      <w:pPr>
        <w:rPr>
          <w:rFonts w:hint="eastAsia" w:ascii="黑体" w:hAnsi="宋体" w:eastAsia="黑体"/>
          <w:szCs w:val="21"/>
        </w:rPr>
      </w:pPr>
    </w:p>
    <w:p>
      <w:pPr>
        <w:rPr>
          <w:rFonts w:hint="eastAsia" w:ascii="黑体" w:hAnsi="宋体" w:eastAsia="黑体"/>
          <w:szCs w:val="21"/>
        </w:rPr>
      </w:pPr>
    </w:p>
    <w:p>
      <w:pPr>
        <w:rPr>
          <w:rFonts w:ascii="黑体" w:hAnsi="宋体" w:eastAsia="黑体"/>
          <w:szCs w:val="21"/>
        </w:rPr>
      </w:pPr>
      <w:r>
        <w:rPr>
          <w:rFonts w:hint="eastAsia" w:ascii="黑体" w:hAnsi="宋体" w:eastAsia="黑体"/>
          <w:szCs w:val="21"/>
        </w:rPr>
        <w:t>学号：_________________</w:t>
      </w:r>
    </w:p>
    <w:p>
      <w:pPr>
        <w:jc w:val="center"/>
        <w:rPr>
          <w:rFonts w:ascii="黑体" w:hAnsi="宋体" w:eastAsia="黑体"/>
          <w:sz w:val="36"/>
          <w:szCs w:val="36"/>
        </w:rPr>
      </w:pPr>
      <w:r>
        <w:rPr>
          <w:rFonts w:hint="eastAsia" w:ascii="黑体" w:hAnsi="宋体" w:eastAsia="黑体"/>
          <w:sz w:val="36"/>
          <w:szCs w:val="36"/>
        </w:rPr>
        <w:t>厦门大学课程进修班学员报名登记表</w:t>
      </w:r>
    </w:p>
    <w:tbl>
      <w:tblPr>
        <w:tblStyle w:val="9"/>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360"/>
        <w:gridCol w:w="900"/>
        <w:gridCol w:w="1980"/>
        <w:gridCol w:w="10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szCs w:val="21"/>
              </w:rPr>
              <w:t>专业</w:t>
            </w:r>
          </w:p>
          <w:p>
            <w:pPr>
              <w:jc w:val="center"/>
              <w:rPr>
                <w:szCs w:val="21"/>
              </w:rPr>
            </w:pPr>
            <w:r>
              <w:rPr>
                <w:rFonts w:hint="eastAsia" w:ascii="宋体" w:hAnsi="宋体"/>
                <w:szCs w:val="21"/>
              </w:rPr>
              <w:t>名称</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szCs w:val="21"/>
              </w:rPr>
              <w:t>所在</w:t>
            </w:r>
          </w:p>
          <w:p>
            <w:pPr>
              <w:jc w:val="center"/>
              <w:rPr>
                <w:szCs w:val="21"/>
              </w:rPr>
            </w:pPr>
            <w:r>
              <w:rPr>
                <w:rFonts w:hint="eastAsia" w:ascii="宋体" w:hAnsi="宋体"/>
                <w:szCs w:val="21"/>
              </w:rPr>
              <w:t>院系</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ind w:firstLine="630" w:firstLineChars="300"/>
              <w:rPr>
                <w:rFonts w:ascii="Times New Roman" w:hAnsi="Times New Roman" w:eastAsia="宋体" w:cs="Times New Roman"/>
                <w:szCs w:val="24"/>
              </w:rPr>
            </w:pPr>
            <w:r>
              <w:rPr>
                <w:rFonts w:hint="eastAsia"/>
              </w:rPr>
              <w:t>照</w:t>
            </w:r>
          </w:p>
          <w:p>
            <w:pPr>
              <w:ind w:firstLine="630" w:firstLineChars="300"/>
              <w:rPr>
                <w:sz w:val="24"/>
                <w:szCs w:val="24"/>
              </w:rPr>
            </w:pPr>
            <w:r>
              <w:rPr>
                <w:rFonts w:hint="eastAsia"/>
              </w:rPr>
              <w:t>片</w:t>
            </w:r>
            <w:r>
              <w:t>(2</w:t>
            </w:r>
            <w:r>
              <w:rPr>
                <w:rFonts w:hint="eastAsia"/>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报名</w:t>
            </w:r>
          </w:p>
          <w:p>
            <w:pPr>
              <w:jc w:val="center"/>
              <w:rPr>
                <w:rFonts w:ascii="宋体" w:hAnsi="宋体"/>
                <w:szCs w:val="21"/>
              </w:rPr>
            </w:pPr>
            <w:r>
              <w:rPr>
                <w:rFonts w:hint="eastAsia"/>
              </w:rPr>
              <w:t>时间</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lang w:val="es-ES"/>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szCs w:val="21"/>
              </w:rPr>
              <w:t>上课</w:t>
            </w:r>
          </w:p>
          <w:p>
            <w:pPr>
              <w:jc w:val="center"/>
              <w:rPr>
                <w:rFonts w:ascii="宋体" w:hAnsi="宋体"/>
                <w:szCs w:val="21"/>
              </w:rPr>
            </w:pPr>
            <w:r>
              <w:rPr>
                <w:rFonts w:hint="eastAsia" w:ascii="宋体" w:hAnsi="宋体"/>
                <w:szCs w:val="21"/>
              </w:rPr>
              <w:t>地点</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姓名</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出生</w:t>
            </w:r>
          </w:p>
          <w:p>
            <w:pPr>
              <w:jc w:val="center"/>
              <w:rPr>
                <w:szCs w:val="24"/>
              </w:rPr>
            </w:pPr>
            <w:r>
              <w:rPr>
                <w:rFonts w:hint="eastAsia"/>
              </w:rPr>
              <w:t>年月</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性别</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籍贯</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政治</w:t>
            </w:r>
          </w:p>
          <w:p>
            <w:pPr>
              <w:jc w:val="center"/>
              <w:rPr>
                <w:szCs w:val="24"/>
              </w:rPr>
            </w:pPr>
            <w:r>
              <w:rPr>
                <w:rFonts w:hint="eastAsia"/>
              </w:rPr>
              <w:t>面貌</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民族</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最后</w:t>
            </w:r>
          </w:p>
          <w:p>
            <w:pPr>
              <w:jc w:val="center"/>
              <w:rPr>
                <w:szCs w:val="24"/>
              </w:rPr>
            </w:pPr>
            <w:r>
              <w:rPr>
                <w:rFonts w:hint="eastAsia"/>
              </w:rPr>
              <w:t>学历</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毕业</w:t>
            </w:r>
          </w:p>
          <w:p>
            <w:pPr>
              <w:jc w:val="center"/>
              <w:rPr>
                <w:szCs w:val="24"/>
              </w:rPr>
            </w:pPr>
            <w:r>
              <w:rPr>
                <w:rFonts w:hint="eastAsia"/>
              </w:rPr>
              <w:t>学校</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所学</w:t>
            </w:r>
          </w:p>
          <w:p>
            <w:pPr>
              <w:jc w:val="center"/>
              <w:rPr>
                <w:szCs w:val="24"/>
              </w:rPr>
            </w:pPr>
            <w:r>
              <w:rPr>
                <w:rFonts w:hint="eastAsia"/>
              </w:rPr>
              <w:t>专业</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毕业</w:t>
            </w:r>
          </w:p>
          <w:p>
            <w:pPr>
              <w:jc w:val="center"/>
              <w:rPr>
                <w:szCs w:val="24"/>
              </w:rPr>
            </w:pPr>
            <w:r>
              <w:rPr>
                <w:rFonts w:hint="eastAsia"/>
              </w:rPr>
              <w:t>时间</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现在工作单位</w:t>
            </w:r>
          </w:p>
        </w:tc>
        <w:tc>
          <w:tcPr>
            <w:tcW w:w="52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rPr>
              <w:t>职</w:t>
            </w:r>
            <w:r>
              <w:t xml:space="preserve"> </w:t>
            </w:r>
            <w:r>
              <w:rPr>
                <w:rFonts w:hint="eastAsia"/>
              </w:rPr>
              <w:t>务</w:t>
            </w:r>
          </w:p>
          <w:p>
            <w:pPr>
              <w:jc w:val="center"/>
              <w:rPr>
                <w:szCs w:val="24"/>
              </w:rPr>
            </w:pPr>
            <w:r>
              <w:rPr>
                <w:rFonts w:hint="eastAsia"/>
              </w:rPr>
              <w:t>（职称）</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单位通讯地址</w:t>
            </w:r>
          </w:p>
        </w:tc>
        <w:tc>
          <w:tcPr>
            <w:tcW w:w="52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联系电话</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个人通讯地址</w:t>
            </w:r>
          </w:p>
        </w:tc>
        <w:tc>
          <w:tcPr>
            <w:tcW w:w="52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电子邮件</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restart"/>
            <w:tcBorders>
              <w:top w:val="single" w:color="auto" w:sz="4" w:space="0"/>
              <w:left w:val="single" w:color="auto" w:sz="4" w:space="0"/>
              <w:bottom w:val="nil"/>
              <w:right w:val="single" w:color="auto" w:sz="4" w:space="0"/>
            </w:tcBorders>
            <w:vAlign w:val="center"/>
          </w:tcPr>
          <w:p>
            <w:pPr>
              <w:jc w:val="center"/>
              <w:rPr>
                <w:rFonts w:ascii="Times New Roman" w:hAnsi="Times New Roman" w:eastAsia="宋体" w:cs="Times New Roman"/>
                <w:szCs w:val="24"/>
              </w:rPr>
            </w:pPr>
            <w:r>
              <w:rPr>
                <w:rFonts w:hint="eastAsia"/>
              </w:rPr>
              <w:t>主</w:t>
            </w:r>
          </w:p>
          <w:p>
            <w:pPr>
              <w:jc w:val="center"/>
            </w:pPr>
            <w:r>
              <w:rPr>
                <w:rFonts w:hint="eastAsia"/>
              </w:rPr>
              <w:t>要</w:t>
            </w:r>
          </w:p>
          <w:p>
            <w:pPr>
              <w:jc w:val="center"/>
            </w:pPr>
            <w:r>
              <w:rPr>
                <w:rFonts w:hint="eastAsia"/>
              </w:rPr>
              <w:t>学</w:t>
            </w:r>
          </w:p>
          <w:p>
            <w:pPr>
              <w:jc w:val="center"/>
            </w:pPr>
            <w:r>
              <w:rPr>
                <w:rFonts w:hint="eastAsia"/>
              </w:rPr>
              <w:t>习</w:t>
            </w:r>
          </w:p>
          <w:p>
            <w:pPr>
              <w:jc w:val="center"/>
            </w:pPr>
            <w:r>
              <w:rPr>
                <w:rFonts w:hint="eastAsia"/>
              </w:rPr>
              <w:t>与</w:t>
            </w:r>
          </w:p>
          <w:p>
            <w:pPr>
              <w:jc w:val="center"/>
            </w:pPr>
            <w:r>
              <w:rPr>
                <w:rFonts w:hint="eastAsia"/>
              </w:rPr>
              <w:t>工</w:t>
            </w:r>
          </w:p>
          <w:p>
            <w:pPr>
              <w:jc w:val="center"/>
            </w:pPr>
            <w:r>
              <w:rPr>
                <w:rFonts w:hint="eastAsia"/>
              </w:rPr>
              <w:t>作</w:t>
            </w:r>
          </w:p>
          <w:p>
            <w:pPr>
              <w:jc w:val="center"/>
            </w:pPr>
            <w:r>
              <w:rPr>
                <w:rFonts w:hint="eastAsia"/>
              </w:rPr>
              <w:t>经</w:t>
            </w:r>
          </w:p>
          <w:p>
            <w:pPr>
              <w:jc w:val="center"/>
              <w:rPr>
                <w:szCs w:val="24"/>
              </w:rPr>
            </w:pPr>
            <w:r>
              <w:rPr>
                <w:rFonts w:hint="eastAsia"/>
              </w:rPr>
              <w:t>历</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起止年月</w:t>
            </w: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学</w:t>
            </w:r>
            <w:r>
              <w:t xml:space="preserve"> </w:t>
            </w:r>
            <w:r>
              <w:rPr>
                <w:rFonts w:hint="eastAsia"/>
              </w:rPr>
              <w:t>习</w:t>
            </w:r>
            <w:r>
              <w:t xml:space="preserve"> </w:t>
            </w:r>
            <w:r>
              <w:rPr>
                <w:rFonts w:hint="eastAsia"/>
              </w:rPr>
              <w:t>和</w:t>
            </w:r>
            <w:r>
              <w:t xml:space="preserve"> </w:t>
            </w: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00" w:type="dxa"/>
            <w:vMerge w:val="continue"/>
            <w:tcBorders>
              <w:top w:val="single" w:color="auto" w:sz="4" w:space="0"/>
              <w:left w:val="single" w:color="auto" w:sz="4" w:space="0"/>
              <w:bottom w:val="nil"/>
              <w:right w:val="single" w:color="auto" w:sz="4" w:space="0"/>
            </w:tcBorders>
            <w:vAlign w:val="center"/>
          </w:tcPr>
          <w:p>
            <w:pPr>
              <w:widowControl/>
              <w:jc w:val="left"/>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4320" w:type="dxa"/>
            <w:gridSpan w:val="4"/>
            <w:tcBorders>
              <w:top w:val="single" w:color="auto" w:sz="4" w:space="0"/>
              <w:left w:val="single" w:color="auto" w:sz="4" w:space="0"/>
              <w:bottom w:val="single" w:color="auto" w:sz="4" w:space="0"/>
              <w:right w:val="single" w:color="auto" w:sz="4" w:space="0"/>
            </w:tcBorders>
            <w:vAlign w:val="center"/>
          </w:tcPr>
          <w:p>
            <w:pPr>
              <w:jc w:val="center"/>
              <w:rPr>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szCs w:val="21"/>
              </w:rPr>
              <w:t>对考生报考意见</w:t>
            </w:r>
          </w:p>
          <w:p>
            <w:pPr>
              <w:rPr>
                <w:rFonts w:ascii="宋体" w:hAnsi="宋体"/>
                <w:szCs w:val="21"/>
              </w:rPr>
            </w:pPr>
          </w:p>
          <w:p>
            <w:pPr>
              <w:rPr>
                <w:rFonts w:ascii="宋体" w:hAnsi="宋体"/>
                <w:szCs w:val="21"/>
              </w:rPr>
            </w:pPr>
          </w:p>
          <w:p>
            <w:pPr>
              <w:ind w:firstLine="5040" w:firstLineChars="2400"/>
              <w:rPr>
                <w:rFonts w:ascii="宋体" w:hAnsi="宋体"/>
                <w:szCs w:val="21"/>
              </w:rPr>
            </w:pPr>
            <w:r>
              <w:rPr>
                <w:rFonts w:hint="eastAsia" w:ascii="宋体" w:hAnsi="宋体"/>
                <w:szCs w:val="21"/>
              </w:rPr>
              <w:t>考生所在单位盖章</w:t>
            </w:r>
          </w:p>
          <w:p>
            <w:pPr>
              <w:jc w:val="righ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szCs w:val="21"/>
              </w:rPr>
              <w:t>招生单位录取意见：</w:t>
            </w: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盖  章</w:t>
            </w:r>
          </w:p>
          <w:p>
            <w:pPr>
              <w:jc w:val="right"/>
              <w:rPr>
                <w:rFonts w:ascii="宋体" w:hAnsi="宋体"/>
                <w:szCs w:val="21"/>
              </w:rPr>
            </w:pPr>
            <w:r>
              <w:rPr>
                <w:rFonts w:hint="eastAsia" w:ascii="宋体" w:hAnsi="宋体"/>
                <w:szCs w:val="21"/>
              </w:rPr>
              <w:t>年     月     日</w:t>
            </w:r>
          </w:p>
        </w:tc>
      </w:tr>
    </w:tbl>
    <w:p>
      <w:pPr>
        <w:rPr>
          <w:rFonts w:ascii="Times New Roman" w:hAnsi="Times New Roman" w:eastAsia="宋体" w:cs="Times New Roman"/>
          <w:szCs w:val="24"/>
        </w:rPr>
      </w:pPr>
    </w:p>
    <w:p>
      <w:pPr>
        <w:widowControl/>
        <w:spacing w:line="353" w:lineRule="atLeast"/>
        <w:jc w:val="left"/>
        <w:outlineLvl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5771"/>
    <w:rsid w:val="0012123B"/>
    <w:rsid w:val="001C6053"/>
    <w:rsid w:val="002D6C4D"/>
    <w:rsid w:val="00347FB4"/>
    <w:rsid w:val="00540C17"/>
    <w:rsid w:val="00631E34"/>
    <w:rsid w:val="006610AD"/>
    <w:rsid w:val="0068269E"/>
    <w:rsid w:val="00696ACC"/>
    <w:rsid w:val="00865771"/>
    <w:rsid w:val="008F06CF"/>
    <w:rsid w:val="00BA03ED"/>
    <w:rsid w:val="00BF359D"/>
    <w:rsid w:val="00CA1F15"/>
    <w:rsid w:val="00EA1D3D"/>
    <w:rsid w:val="00FB53FA"/>
    <w:rsid w:val="213D37DC"/>
    <w:rsid w:val="21BC33D3"/>
    <w:rsid w:val="364E1BF7"/>
    <w:rsid w:val="72526E6F"/>
    <w:rsid w:val="78785534"/>
    <w:rsid w:val="7EEA69B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jc w:val="left"/>
      <w:outlineLvl w:val="2"/>
    </w:pPr>
    <w:rPr>
      <w:rFonts w:ascii="宋体" w:hAnsi="宋体" w:eastAsia="宋体" w:cs="宋体"/>
      <w:b/>
      <w:bCs/>
      <w:kern w:val="0"/>
      <w:sz w:val="27"/>
      <w:szCs w:val="27"/>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rFonts w:hint="eastAsia" w:ascii="宋体" w:hAnsi="宋体" w:eastAsia="宋体"/>
      <w:color w:val="000000"/>
      <w:sz w:val="16"/>
      <w:szCs w:val="16"/>
      <w:u w:val="none"/>
    </w:rPr>
  </w:style>
  <w:style w:type="character" w:customStyle="1" w:styleId="10">
    <w:name w:val="标题 3 Char"/>
    <w:basedOn w:val="6"/>
    <w:link w:val="2"/>
    <w:qFormat/>
    <w:uiPriority w:val="9"/>
    <w:rPr>
      <w:rFonts w:ascii="宋体" w:hAnsi="宋体" w:eastAsia="宋体" w:cs="宋体"/>
      <w:b/>
      <w:bCs/>
      <w:kern w:val="0"/>
      <w:sz w:val="27"/>
      <w:szCs w:val="27"/>
    </w:rPr>
  </w:style>
  <w:style w:type="character" w:customStyle="1" w:styleId="11">
    <w:name w:val="页眉 Char"/>
    <w:basedOn w:val="6"/>
    <w:link w:val="4"/>
    <w:semiHidden/>
    <w:qFormat/>
    <w:uiPriority w:val="99"/>
    <w:rPr>
      <w:kern w:val="2"/>
      <w:sz w:val="18"/>
      <w:szCs w:val="18"/>
    </w:rPr>
  </w:style>
  <w:style w:type="character" w:customStyle="1" w:styleId="12">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DK</Company>
  <Pages>5</Pages>
  <Words>479</Words>
  <Characters>2731</Characters>
  <Lines>22</Lines>
  <Paragraphs>6</Paragraphs>
  <TotalTime>0</TotalTime>
  <ScaleCrop>false</ScaleCrop>
  <LinksUpToDate>false</LinksUpToDate>
  <CharactersWithSpaces>3204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2016-04-01T03:18:00Z</dcterms:created>
  <dc:creator>user</dc:creator>
  <cp:lastModifiedBy>Administrator</cp:lastModifiedBy>
  <dcterms:modified xsi:type="dcterms:W3CDTF">2017-03-16T07:04:18Z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