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宋体"/>
          <w:b/>
          <w:bCs/>
          <w:color w:val="444444"/>
          <w:kern w:val="0"/>
          <w:sz w:val="44"/>
          <w:szCs w:val="44"/>
        </w:rPr>
      </w:pPr>
      <w:r>
        <w:rPr>
          <w:rFonts w:hint="eastAsia" w:ascii="方正小标宋简体" w:hAnsi="宋体" w:eastAsia="方正小标宋简体" w:cs="宋体"/>
          <w:b/>
          <w:bCs/>
          <w:color w:val="444444"/>
          <w:kern w:val="0"/>
          <w:sz w:val="44"/>
          <w:szCs w:val="44"/>
        </w:rPr>
        <w:t>新闻学（网络新闻与新媒体方向）在职研究生</w:t>
      </w:r>
    </w:p>
    <w:p>
      <w:pPr>
        <w:jc w:val="center"/>
        <w:rPr>
          <w:rFonts w:ascii="方正小标宋简体" w:hAnsi="宋体" w:eastAsia="方正小标宋简体" w:cs="宋体"/>
          <w:b/>
          <w:bCs/>
          <w:color w:val="444444"/>
          <w:kern w:val="0"/>
          <w:sz w:val="44"/>
          <w:szCs w:val="44"/>
        </w:rPr>
      </w:pPr>
      <w:r>
        <w:rPr>
          <w:rFonts w:hint="eastAsia" w:ascii="方正小标宋简体" w:hAnsi="宋体" w:eastAsia="方正小标宋简体" w:cs="宋体"/>
          <w:b/>
          <w:bCs/>
          <w:color w:val="444444"/>
          <w:kern w:val="0"/>
          <w:sz w:val="44"/>
          <w:szCs w:val="44"/>
        </w:rPr>
        <w:t>招生简章优化方案</w:t>
      </w:r>
    </w:p>
    <w:p>
      <w:pPr>
        <w:rPr>
          <w:rFonts w:ascii="宋体" w:hAnsi="宋体" w:eastAsia="宋体" w:cs="宋体"/>
          <w:b/>
          <w:bCs/>
          <w:color w:val="444444"/>
          <w:kern w:val="0"/>
          <w:sz w:val="30"/>
          <w:szCs w:val="30"/>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一、学院专业优势及简介</w:t>
      </w:r>
    </w:p>
    <w:p>
      <w:pPr>
        <w:ind w:firstLine="630" w:firstLineChars="196"/>
        <w:rPr>
          <w:rFonts w:ascii="仿宋" w:hAnsi="仿宋" w:eastAsia="仿宋"/>
          <w:color w:val="FF0000"/>
          <w:sz w:val="32"/>
          <w:szCs w:val="32"/>
        </w:rPr>
      </w:pPr>
      <w:r>
        <w:rPr>
          <w:rFonts w:hint="eastAsia" w:ascii="仿宋" w:hAnsi="仿宋" w:eastAsia="仿宋"/>
          <w:b/>
          <w:bCs/>
          <w:color w:val="FF0000"/>
          <w:sz w:val="32"/>
          <w:szCs w:val="32"/>
        </w:rPr>
        <w:t>★全国仅有的同时拥有新闻学、传播学两个国家一级重点学科的学院。</w:t>
      </w:r>
    </w:p>
    <w:p>
      <w:pPr>
        <w:ind w:firstLine="630" w:firstLineChars="196"/>
        <w:rPr>
          <w:rFonts w:ascii="仿宋" w:hAnsi="仿宋" w:eastAsia="仿宋"/>
          <w:color w:val="FF0000"/>
          <w:sz w:val="32"/>
          <w:szCs w:val="32"/>
        </w:rPr>
      </w:pPr>
      <w:r>
        <w:rPr>
          <w:rFonts w:hint="eastAsia" w:ascii="仿宋" w:hAnsi="仿宋" w:eastAsia="仿宋"/>
          <w:b/>
          <w:bCs/>
          <w:color w:val="FF0000"/>
          <w:sz w:val="32"/>
          <w:szCs w:val="32"/>
        </w:rPr>
        <w:t>★国家“211”工程和“985”工程重点建设单位。</w:t>
      </w:r>
    </w:p>
    <w:p>
      <w:pPr>
        <w:ind w:firstLine="630" w:firstLineChars="196"/>
        <w:rPr>
          <w:rFonts w:ascii="仿宋" w:hAnsi="仿宋" w:eastAsia="仿宋"/>
          <w:color w:val="FF0000"/>
          <w:sz w:val="32"/>
          <w:szCs w:val="32"/>
        </w:rPr>
      </w:pPr>
      <w:r>
        <w:rPr>
          <w:rFonts w:hint="eastAsia" w:ascii="仿宋" w:hAnsi="仿宋" w:eastAsia="仿宋"/>
          <w:b/>
          <w:bCs/>
          <w:color w:val="FF0000"/>
          <w:sz w:val="32"/>
          <w:szCs w:val="32"/>
        </w:rPr>
        <w:t>★教育部人文社会科学重点研究基地“新闻与社会发展研究中心”所在单位。</w:t>
      </w:r>
    </w:p>
    <w:p>
      <w:pPr>
        <w:ind w:firstLine="640" w:firstLineChars="200"/>
        <w:rPr>
          <w:rFonts w:ascii="仿宋" w:hAnsi="仿宋" w:eastAsia="仿宋"/>
          <w:sz w:val="32"/>
          <w:szCs w:val="32"/>
        </w:rPr>
      </w:pPr>
      <w:r>
        <w:rPr>
          <w:rFonts w:hint="eastAsia" w:ascii="仿宋" w:hAnsi="仿宋" w:eastAsia="仿宋"/>
          <w:sz w:val="32"/>
          <w:szCs w:val="32"/>
        </w:rPr>
        <w:t>中国人民大学的新闻教育在我国新闻教育事业中占有特别重要的历史地位。自成立以来，中国人民大学新闻学院是承担国家重大课题最多、获奖成果最多的新闻院系，众多专家学者担任国家重大研究项目的首席顾问。在国家重点学科评估中，中国人民大学新闻学院被评估为新闻传播学科综合实力第一名。</w:t>
      </w:r>
    </w:p>
    <w:p>
      <w:pPr>
        <w:ind w:firstLine="640" w:firstLineChars="200"/>
        <w:rPr>
          <w:rFonts w:ascii="仿宋" w:hAnsi="仿宋" w:eastAsia="仿宋"/>
          <w:sz w:val="32"/>
          <w:szCs w:val="32"/>
        </w:rPr>
      </w:pPr>
      <w:r>
        <w:rPr>
          <w:rFonts w:hint="eastAsia" w:ascii="仿宋" w:hAnsi="仿宋" w:eastAsia="仿宋"/>
          <w:sz w:val="32"/>
          <w:szCs w:val="32"/>
        </w:rPr>
        <w:t>为适应改革开放和社会经济发展对高层次新闻人才的需要，提高在职人员的业务素质，经北京市学位委员会办公室备案同意，中国人民大学新闻学院决定在北京举办新闻学专业网络新闻与新媒体方向研究生课程进修班。</w:t>
      </w:r>
    </w:p>
    <w:p>
      <w:pPr>
        <w:ind w:firstLine="640" w:firstLineChars="200"/>
        <w:rPr>
          <w:rFonts w:ascii="仿宋" w:hAnsi="仿宋" w:eastAsia="仿宋"/>
          <w:sz w:val="32"/>
          <w:szCs w:val="32"/>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二、新闻学专业网络新闻与新媒体方向研究领域与课程设置</w:t>
      </w:r>
    </w:p>
    <w:p>
      <w:pPr>
        <w:ind w:firstLine="640" w:firstLineChars="200"/>
        <w:rPr>
          <w:rFonts w:ascii="仿宋" w:hAnsi="仿宋" w:eastAsia="仿宋"/>
          <w:sz w:val="32"/>
          <w:szCs w:val="32"/>
        </w:rPr>
      </w:pPr>
      <w:r>
        <w:rPr>
          <w:rFonts w:hint="eastAsia" w:ascii="仿宋" w:hAnsi="仿宋" w:eastAsia="仿宋"/>
          <w:sz w:val="32"/>
          <w:szCs w:val="32"/>
        </w:rPr>
        <w:t>根据我校新闻学院专业培养方案的要求，开设全部课程，包括：政治理论课(按学校规定的课程名称确定)、学科基础课、专业课和选修课等课程。</w:t>
      </w:r>
    </w:p>
    <w:p>
      <w:pPr>
        <w:ind w:firstLine="420" w:firstLineChars="200"/>
      </w:pPr>
    </w:p>
    <w:tbl>
      <w:tblPr>
        <w:tblStyle w:val="7"/>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gridSpan w:val="2"/>
          </w:tcPr>
          <w:p>
            <w:pPr>
              <w:jc w:val="center"/>
              <w:rPr>
                <w:rFonts w:ascii="仿宋" w:hAnsi="仿宋" w:eastAsia="仿宋"/>
                <w:szCs w:val="21"/>
              </w:rPr>
            </w:pPr>
            <w:r>
              <w:rPr>
                <w:rFonts w:hint="eastAsia" w:ascii="仿宋" w:hAnsi="仿宋" w:eastAsia="仿宋"/>
                <w:b/>
                <w:szCs w:val="21"/>
              </w:rPr>
              <w:t>研究方向和领域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gridSpan w:val="2"/>
          </w:tcPr>
          <w:p>
            <w:pPr>
              <w:jc w:val="left"/>
              <w:rPr>
                <w:rFonts w:ascii="仿宋" w:hAnsi="仿宋" w:eastAsia="仿宋"/>
                <w:szCs w:val="21"/>
              </w:rPr>
            </w:pPr>
            <w:r>
              <w:rPr>
                <w:rFonts w:hint="eastAsia" w:ascii="仿宋" w:hAnsi="仿宋" w:eastAsia="仿宋"/>
                <w:szCs w:val="21"/>
              </w:rPr>
              <w:t>网络新闻与新媒体、公共新闻传播、政府新媒体传播、媒体经营与管理、媒介融合与新闻业务改革、广告媒体策略、新媒体发展与社会管理、新媒体与社会变革研究、媒体数字化理论研究、网络传播研究、新闻发布制度研究、党政干部媒介素养研究、新闻传播策划与组织、手机媒体商业模式研究、新媒体营销、企业公共关系实务、传媒改革与发展、政府网络舆情监测与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6" w:type="dxa"/>
            <w:gridSpan w:val="2"/>
          </w:tcPr>
          <w:p>
            <w:pPr>
              <w:jc w:val="center"/>
              <w:rPr>
                <w:rFonts w:ascii="仿宋" w:hAnsi="仿宋" w:eastAsia="仿宋"/>
                <w:szCs w:val="21"/>
              </w:rPr>
            </w:pPr>
            <w:r>
              <w:rPr>
                <w:rFonts w:hint="eastAsia" w:ascii="仿宋" w:hAnsi="仿宋" w:eastAsia="仿宋"/>
                <w:b/>
                <w:szCs w:val="21"/>
              </w:rPr>
              <w:t>课程设置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restart"/>
            <w:vAlign w:val="center"/>
          </w:tcPr>
          <w:p>
            <w:pPr>
              <w:jc w:val="center"/>
              <w:rPr>
                <w:rFonts w:ascii="仿宋" w:hAnsi="仿宋" w:eastAsia="仿宋"/>
                <w:b/>
                <w:szCs w:val="21"/>
              </w:rPr>
            </w:pPr>
            <w:r>
              <w:rPr>
                <w:rFonts w:hint="eastAsia" w:ascii="仿宋" w:hAnsi="仿宋" w:eastAsia="仿宋"/>
                <w:b/>
                <w:szCs w:val="21"/>
              </w:rPr>
              <w:t>学科基础课</w:t>
            </w:r>
          </w:p>
        </w:tc>
        <w:tc>
          <w:tcPr>
            <w:tcW w:w="6853" w:type="dxa"/>
            <w:vAlign w:val="center"/>
          </w:tcPr>
          <w:p>
            <w:pPr>
              <w:jc w:val="center"/>
              <w:rPr>
                <w:rFonts w:ascii="仿宋" w:hAnsi="仿宋" w:eastAsia="仿宋"/>
                <w:szCs w:val="21"/>
              </w:rPr>
            </w:pPr>
            <w:r>
              <w:rPr>
                <w:rFonts w:hint="eastAsia" w:ascii="仿宋" w:hAnsi="仿宋" w:eastAsia="仿宋"/>
                <w:szCs w:val="21"/>
              </w:rPr>
              <w:t>媒介市场分析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b/>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网络新闻与新媒体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 xml:space="preserve">新闻法规与伦理研究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新闻编辑研究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 xml:space="preserve">新闻理论研究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 xml:space="preserve">新闻传播史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restart"/>
            <w:vAlign w:val="center"/>
          </w:tcPr>
          <w:p>
            <w:pPr>
              <w:jc w:val="center"/>
              <w:rPr>
                <w:rFonts w:ascii="仿宋" w:hAnsi="仿宋" w:eastAsia="仿宋"/>
                <w:b/>
                <w:szCs w:val="21"/>
              </w:rPr>
            </w:pPr>
            <w:r>
              <w:rPr>
                <w:rFonts w:hint="eastAsia" w:ascii="仿宋" w:hAnsi="仿宋" w:eastAsia="仿宋"/>
                <w:b/>
                <w:szCs w:val="21"/>
              </w:rPr>
              <w:t>专业课</w:t>
            </w:r>
          </w:p>
        </w:tc>
        <w:tc>
          <w:tcPr>
            <w:tcW w:w="6853" w:type="dxa"/>
            <w:vAlign w:val="center"/>
          </w:tcPr>
          <w:p>
            <w:pPr>
              <w:jc w:val="center"/>
              <w:rPr>
                <w:rFonts w:ascii="仿宋" w:hAnsi="仿宋" w:eastAsia="仿宋"/>
                <w:szCs w:val="21"/>
              </w:rPr>
            </w:pPr>
            <w:r>
              <w:rPr>
                <w:rFonts w:hint="eastAsia" w:ascii="仿宋" w:hAnsi="仿宋" w:eastAsia="仿宋"/>
                <w:szCs w:val="21"/>
              </w:rPr>
              <w:t>形象传播学（原具象传播研究）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新媒体传播（网络传播研究）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 xml:space="preserve">手机媒体研究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新闻评论研究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 xml:space="preserve">  传播理论研究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 xml:space="preserve">广告理论与实务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restart"/>
            <w:vAlign w:val="center"/>
          </w:tcPr>
          <w:p>
            <w:pPr>
              <w:jc w:val="center"/>
              <w:rPr>
                <w:rFonts w:ascii="仿宋" w:hAnsi="仿宋" w:eastAsia="仿宋"/>
                <w:szCs w:val="21"/>
              </w:rPr>
            </w:pPr>
            <w:r>
              <w:rPr>
                <w:rFonts w:hint="eastAsia" w:ascii="仿宋" w:hAnsi="仿宋" w:eastAsia="仿宋"/>
                <w:b/>
                <w:szCs w:val="21"/>
              </w:rPr>
              <w:t>方法课</w:t>
            </w:r>
          </w:p>
        </w:tc>
        <w:tc>
          <w:tcPr>
            <w:tcW w:w="6853" w:type="dxa"/>
            <w:vAlign w:val="center"/>
          </w:tcPr>
          <w:p>
            <w:pPr>
              <w:jc w:val="center"/>
              <w:rPr>
                <w:rFonts w:ascii="仿宋" w:hAnsi="仿宋" w:eastAsia="仿宋"/>
                <w:szCs w:val="21"/>
              </w:rPr>
            </w:pPr>
            <w:r>
              <w:rPr>
                <w:rFonts w:hint="eastAsia" w:ascii="仿宋" w:hAnsi="仿宋" w:eastAsia="仿宋"/>
                <w:szCs w:val="21"/>
              </w:rPr>
              <w:t>新闻传播学研究方法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新闻采访写作研究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restart"/>
            <w:vAlign w:val="center"/>
          </w:tcPr>
          <w:p>
            <w:pPr>
              <w:jc w:val="center"/>
              <w:rPr>
                <w:rFonts w:ascii="仿宋" w:hAnsi="仿宋" w:eastAsia="仿宋"/>
                <w:b/>
                <w:szCs w:val="21"/>
              </w:rPr>
            </w:pPr>
            <w:r>
              <w:rPr>
                <w:rFonts w:hint="eastAsia" w:ascii="仿宋" w:hAnsi="仿宋" w:eastAsia="仿宋"/>
                <w:b/>
                <w:szCs w:val="21"/>
              </w:rPr>
              <w:t>选修课</w:t>
            </w:r>
          </w:p>
          <w:p>
            <w:pPr>
              <w:jc w:val="center"/>
              <w:rPr>
                <w:rFonts w:ascii="仿宋" w:hAnsi="仿宋" w:eastAsia="仿宋"/>
                <w:szCs w:val="21"/>
              </w:rPr>
            </w:pPr>
            <w:r>
              <w:rPr>
                <w:rFonts w:hint="eastAsia" w:ascii="仿宋" w:hAnsi="仿宋" w:eastAsia="仿宋"/>
                <w:b/>
                <w:szCs w:val="21"/>
              </w:rPr>
              <w:t>（选开）</w:t>
            </w:r>
          </w:p>
        </w:tc>
        <w:tc>
          <w:tcPr>
            <w:tcW w:w="6853" w:type="dxa"/>
            <w:vAlign w:val="center"/>
          </w:tcPr>
          <w:p>
            <w:pPr>
              <w:jc w:val="center"/>
              <w:rPr>
                <w:rFonts w:ascii="仿宋" w:hAnsi="仿宋" w:eastAsia="仿宋"/>
                <w:szCs w:val="21"/>
              </w:rPr>
            </w:pPr>
            <w:r>
              <w:rPr>
                <w:rFonts w:hint="eastAsia" w:ascii="仿宋" w:hAnsi="仿宋" w:eastAsia="仿宋"/>
                <w:szCs w:val="21"/>
              </w:rPr>
              <w:t>公共传播与危机管理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传播心理学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传媒数字化管理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网络传播研究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广播电视传媒数字化传播研究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 w:hRule="atLeast"/>
        </w:trPr>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网络舆情研究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电视节目运营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restart"/>
            <w:vAlign w:val="center"/>
          </w:tcPr>
          <w:p>
            <w:pPr>
              <w:jc w:val="center"/>
              <w:rPr>
                <w:rFonts w:ascii="仿宋" w:hAnsi="仿宋" w:eastAsia="仿宋"/>
                <w:szCs w:val="21"/>
              </w:rPr>
            </w:pPr>
            <w:r>
              <w:rPr>
                <w:rFonts w:hint="eastAsia" w:ascii="仿宋" w:hAnsi="仿宋" w:eastAsia="仿宋"/>
                <w:b/>
                <w:szCs w:val="21"/>
              </w:rPr>
              <w:t>公共课</w:t>
            </w:r>
          </w:p>
        </w:tc>
        <w:tc>
          <w:tcPr>
            <w:tcW w:w="6853" w:type="dxa"/>
            <w:vAlign w:val="center"/>
          </w:tcPr>
          <w:p>
            <w:pPr>
              <w:jc w:val="center"/>
              <w:rPr>
                <w:rFonts w:ascii="仿宋" w:hAnsi="仿宋" w:eastAsia="仿宋"/>
                <w:szCs w:val="21"/>
              </w:rPr>
            </w:pPr>
            <w:r>
              <w:rPr>
                <w:rFonts w:hint="eastAsia" w:ascii="仿宋" w:hAnsi="仿宋" w:eastAsia="仿宋"/>
                <w:szCs w:val="21"/>
              </w:rPr>
              <w:t>中国特色社会主义理论与实践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专业外语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93" w:type="dxa"/>
            <w:vMerge w:val="restart"/>
            <w:vAlign w:val="center"/>
          </w:tcPr>
          <w:p>
            <w:pPr>
              <w:jc w:val="center"/>
              <w:rPr>
                <w:rFonts w:ascii="仿宋" w:hAnsi="仿宋" w:eastAsia="仿宋"/>
                <w:szCs w:val="21"/>
              </w:rPr>
            </w:pPr>
            <w:r>
              <w:rPr>
                <w:rFonts w:hint="eastAsia" w:ascii="仿宋" w:hAnsi="仿宋" w:eastAsia="仿宋"/>
                <w:b/>
                <w:szCs w:val="21"/>
              </w:rPr>
              <w:t>讲座课程</w:t>
            </w:r>
          </w:p>
        </w:tc>
        <w:tc>
          <w:tcPr>
            <w:tcW w:w="6853" w:type="dxa"/>
            <w:vAlign w:val="center"/>
          </w:tcPr>
          <w:p>
            <w:pPr>
              <w:jc w:val="center"/>
              <w:rPr>
                <w:rFonts w:ascii="仿宋" w:hAnsi="仿宋" w:eastAsia="仿宋"/>
                <w:szCs w:val="21"/>
              </w:rPr>
            </w:pPr>
            <w:r>
              <w:rPr>
                <w:rFonts w:hint="eastAsia" w:ascii="仿宋" w:hAnsi="仿宋" w:eastAsia="仿宋"/>
                <w:szCs w:val="21"/>
              </w:rPr>
              <w:t>受众新闻消费习惯的变迁及对新闻业发展的影响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融媒体背景下传媒商业模式创新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新媒体环境下的视听信息传播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新挑战、新机遇、新常态：传媒产业发展与研究论坛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新媒体与社会认同——公共传播研究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93" w:type="dxa"/>
            <w:vMerge w:val="continue"/>
            <w:vAlign w:val="center"/>
          </w:tcPr>
          <w:p>
            <w:pPr>
              <w:jc w:val="center"/>
              <w:rPr>
                <w:rFonts w:ascii="仿宋" w:hAnsi="仿宋" w:eastAsia="仿宋"/>
                <w:szCs w:val="21"/>
              </w:rPr>
            </w:pPr>
          </w:p>
        </w:tc>
        <w:tc>
          <w:tcPr>
            <w:tcW w:w="6853" w:type="dxa"/>
            <w:vAlign w:val="center"/>
          </w:tcPr>
          <w:p>
            <w:pPr>
              <w:jc w:val="center"/>
              <w:rPr>
                <w:rFonts w:ascii="仿宋" w:hAnsi="仿宋" w:eastAsia="仿宋"/>
                <w:szCs w:val="21"/>
              </w:rPr>
            </w:pPr>
            <w:r>
              <w:rPr>
                <w:rFonts w:hint="eastAsia" w:ascii="仿宋" w:hAnsi="仿宋" w:eastAsia="仿宋"/>
                <w:szCs w:val="21"/>
              </w:rPr>
              <w:t>新闻传播业的变革：历史与现实</w:t>
            </w:r>
          </w:p>
        </w:tc>
      </w:tr>
    </w:tbl>
    <w:p>
      <w:pPr>
        <w:rPr>
          <w:b/>
        </w:rPr>
      </w:pPr>
      <w:r>
        <w:rPr>
          <w:rFonts w:hint="eastAsia"/>
          <w:b/>
        </w:rPr>
        <w:t>注：</w:t>
      </w:r>
      <w:r>
        <w:rPr>
          <w:rFonts w:hint="eastAsia"/>
          <w:b/>
          <w:color w:val="000000"/>
          <w:szCs w:val="21"/>
          <w:shd w:val="clear" w:color="auto" w:fill="FFFFFF"/>
        </w:rPr>
        <w:t>课程设置按当年最新培养方案及教学计划为准。</w:t>
      </w:r>
    </w:p>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三、拟授课老师及研究方向或领域</w:t>
      </w:r>
    </w:p>
    <w:tbl>
      <w:tblPr>
        <w:tblStyle w:val="6"/>
        <w:tblW w:w="8085" w:type="dxa"/>
        <w:tblInd w:w="0" w:type="dxa"/>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
      <w:tblGrid>
        <w:gridCol w:w="1746"/>
        <w:gridCol w:w="3544"/>
        <w:gridCol w:w="2795"/>
      </w:tblGrid>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jc w:val="center"/>
              <w:rPr>
                <w:rFonts w:ascii="仿宋" w:hAnsi="仿宋" w:eastAsia="仿宋"/>
                <w:b/>
                <w:szCs w:val="21"/>
              </w:rPr>
            </w:pPr>
            <w:r>
              <w:rPr>
                <w:rFonts w:hint="eastAsia" w:ascii="仿宋" w:hAnsi="仿宋" w:eastAsia="仿宋"/>
                <w:b/>
                <w:szCs w:val="21"/>
              </w:rPr>
              <w:t>拟授课老师</w:t>
            </w:r>
          </w:p>
        </w:tc>
        <w:tc>
          <w:tcPr>
            <w:tcW w:w="3544" w:type="dxa"/>
            <w:shd w:val="clear" w:color="auto" w:fill="auto"/>
            <w:tcMar>
              <w:top w:w="90" w:type="dxa"/>
              <w:left w:w="45" w:type="dxa"/>
              <w:bottom w:w="90" w:type="dxa"/>
              <w:right w:w="45" w:type="dxa"/>
            </w:tcMar>
            <w:vAlign w:val="center"/>
          </w:tcPr>
          <w:p>
            <w:pPr>
              <w:jc w:val="center"/>
              <w:rPr>
                <w:rFonts w:ascii="仿宋" w:hAnsi="仿宋" w:eastAsia="仿宋"/>
                <w:b/>
                <w:szCs w:val="21"/>
              </w:rPr>
            </w:pPr>
            <w:r>
              <w:rPr>
                <w:rFonts w:hint="eastAsia" w:ascii="仿宋" w:hAnsi="仿宋" w:eastAsia="仿宋"/>
                <w:b/>
                <w:szCs w:val="21"/>
              </w:rPr>
              <w:t>职称（行政兼职）</w:t>
            </w:r>
          </w:p>
        </w:tc>
        <w:tc>
          <w:tcPr>
            <w:tcW w:w="2795" w:type="dxa"/>
            <w:shd w:val="clear" w:color="auto" w:fill="auto"/>
            <w:tcMar>
              <w:top w:w="90" w:type="dxa"/>
              <w:left w:w="45" w:type="dxa"/>
              <w:bottom w:w="90" w:type="dxa"/>
              <w:right w:w="45" w:type="dxa"/>
            </w:tcMar>
            <w:vAlign w:val="center"/>
          </w:tcPr>
          <w:p>
            <w:pPr>
              <w:jc w:val="center"/>
              <w:rPr>
                <w:rFonts w:ascii="仿宋" w:hAnsi="仿宋" w:eastAsia="仿宋"/>
                <w:b/>
                <w:szCs w:val="21"/>
              </w:rPr>
            </w:pPr>
            <w:r>
              <w:rPr>
                <w:rFonts w:hint="eastAsia" w:ascii="仿宋" w:hAnsi="仿宋" w:eastAsia="仿宋"/>
                <w:b/>
                <w:szCs w:val="21"/>
              </w:rPr>
              <w:t>研究方向或领域</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widowControl/>
              <w:spacing w:line="270" w:lineRule="atLeast"/>
              <w:jc w:val="left"/>
              <w:rPr>
                <w:rFonts w:ascii="宋体" w:hAnsi="宋体" w:eastAsia="宋体" w:cs="宋体"/>
                <w:color w:val="444444"/>
                <w:kern w:val="0"/>
                <w:sz w:val="18"/>
                <w:szCs w:val="18"/>
              </w:rPr>
            </w:pPr>
            <w:r>
              <w:rPr>
                <w:rFonts w:hint="eastAsia" w:ascii="仿宋" w:hAnsi="仿宋" w:eastAsia="仿宋"/>
                <w:szCs w:val="21"/>
              </w:rPr>
              <w:t>陈力丹</w:t>
            </w:r>
            <w:r>
              <w:rPr>
                <w:rFonts w:hint="eastAsia" w:ascii="宋体" w:hAnsi="宋体" w:eastAsia="宋体" w:cs="宋体"/>
                <w:color w:val="444444"/>
                <w:kern w:val="0"/>
                <w:sz w:val="18"/>
                <w:szCs w:val="18"/>
              </w:rPr>
              <w:t> </w:t>
            </w:r>
            <w:r>
              <w:rPr>
                <w:rFonts w:ascii="宋体" w:hAnsi="宋体" w:eastAsia="宋体" w:cs="宋体"/>
                <w:color w:val="444444"/>
                <w:kern w:val="0"/>
                <w:sz w:val="18"/>
                <w:szCs w:val="18"/>
              </w:rPr>
              <w:drawing>
                <wp:inline distT="0" distB="0" distL="0" distR="0">
                  <wp:extent cx="106680" cy="114300"/>
                  <wp:effectExtent l="0" t="0" r="7620" b="0"/>
                  <wp:docPr id="14" name="图片 14" descr="http://www.rucedu.cn/uploads/allimg/150813/08-13_17292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http://www.rucedu.cn/uploads/allimg/150813/08-13_172920-3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680" cy="114300"/>
                          </a:xfrm>
                          <a:prstGeom prst="rect">
                            <a:avLst/>
                          </a:prstGeom>
                          <a:noFill/>
                          <a:ln>
                            <a:noFill/>
                          </a:ln>
                        </pic:spPr>
                      </pic:pic>
                    </a:graphicData>
                  </a:graphic>
                </wp:inline>
              </w:drawing>
            </w:r>
          </w:p>
        </w:tc>
        <w:tc>
          <w:tcPr>
            <w:tcW w:w="3544" w:type="dxa"/>
            <w:shd w:val="clear" w:color="auto" w:fill="auto"/>
            <w:tcMar>
              <w:top w:w="90" w:type="dxa"/>
              <w:left w:w="45" w:type="dxa"/>
              <w:bottom w:w="90" w:type="dxa"/>
              <w:right w:w="45" w:type="dxa"/>
            </w:tcMar>
            <w:vAlign w:val="center"/>
          </w:tcPr>
          <w:p>
            <w:pPr>
              <w:jc w:val="left"/>
            </w:pPr>
            <w:r>
              <w:rPr>
                <w:rFonts w:hint="eastAsia"/>
              </w:rPr>
              <w:t>国家二级教授、博士生导师、国务院学位委员会学科评议组成员、享受国务院特殊津贴</w:t>
            </w:r>
          </w:p>
        </w:tc>
        <w:tc>
          <w:tcPr>
            <w:tcW w:w="2795" w:type="dxa"/>
            <w:shd w:val="clear" w:color="auto" w:fill="auto"/>
            <w:tcMar>
              <w:top w:w="90" w:type="dxa"/>
              <w:left w:w="45" w:type="dxa"/>
              <w:bottom w:w="90" w:type="dxa"/>
              <w:right w:w="45" w:type="dxa"/>
            </w:tcMar>
            <w:vAlign w:val="center"/>
          </w:tcPr>
          <w:p>
            <w:pPr>
              <w:jc w:val="left"/>
            </w:pPr>
            <w:r>
              <w:rPr>
                <w:rFonts w:hint="eastAsia"/>
              </w:rPr>
              <w:t>舆论学、传播学、中外新闻史、新闻理论</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widowControl/>
              <w:spacing w:line="270" w:lineRule="atLeast"/>
              <w:jc w:val="left"/>
              <w:rPr>
                <w:rFonts w:ascii="宋体" w:hAnsi="宋体" w:eastAsia="宋体" w:cs="宋体"/>
                <w:color w:val="444444"/>
                <w:kern w:val="0"/>
                <w:sz w:val="18"/>
                <w:szCs w:val="18"/>
              </w:rPr>
            </w:pPr>
            <w:r>
              <w:rPr>
                <w:rFonts w:hint="eastAsia" w:ascii="仿宋" w:hAnsi="仿宋" w:eastAsia="仿宋"/>
                <w:szCs w:val="21"/>
              </w:rPr>
              <w:t>高钢</w:t>
            </w:r>
            <w:r>
              <w:rPr>
                <w:rFonts w:hint="eastAsia" w:ascii="宋体" w:hAnsi="宋体" w:eastAsia="宋体" w:cs="宋体"/>
                <w:color w:val="444444"/>
                <w:kern w:val="0"/>
                <w:sz w:val="18"/>
                <w:szCs w:val="18"/>
              </w:rPr>
              <w:t> </w:t>
            </w:r>
            <w:r>
              <w:rPr>
                <w:rFonts w:ascii="宋体" w:hAnsi="宋体" w:eastAsia="宋体" w:cs="宋体"/>
                <w:color w:val="444444"/>
                <w:kern w:val="0"/>
                <w:sz w:val="18"/>
                <w:szCs w:val="18"/>
              </w:rPr>
              <w:drawing>
                <wp:inline distT="0" distB="0" distL="0" distR="0">
                  <wp:extent cx="106680" cy="114300"/>
                  <wp:effectExtent l="0" t="0" r="7620" b="0"/>
                  <wp:docPr id="13" name="图片 13" descr="http://www.rucedu.cn/uploads/allimg/150813/08-13_17292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http://www.rucedu.cn/uploads/allimg/150813/08-13_172920-3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680" cy="114300"/>
                          </a:xfrm>
                          <a:prstGeom prst="rect">
                            <a:avLst/>
                          </a:prstGeom>
                          <a:noFill/>
                          <a:ln>
                            <a:noFill/>
                          </a:ln>
                        </pic:spPr>
                      </pic:pic>
                    </a:graphicData>
                  </a:graphic>
                </wp:inline>
              </w:drawing>
            </w:r>
          </w:p>
        </w:tc>
        <w:tc>
          <w:tcPr>
            <w:tcW w:w="3544" w:type="dxa"/>
            <w:shd w:val="clear" w:color="auto" w:fill="auto"/>
            <w:tcMar>
              <w:top w:w="90" w:type="dxa"/>
              <w:left w:w="45" w:type="dxa"/>
              <w:bottom w:w="90" w:type="dxa"/>
              <w:right w:w="45" w:type="dxa"/>
            </w:tcMar>
            <w:vAlign w:val="center"/>
          </w:tcPr>
          <w:p>
            <w:pPr>
              <w:jc w:val="left"/>
            </w:pPr>
            <w:r>
              <w:rPr>
                <w:rFonts w:hint="eastAsia"/>
              </w:rPr>
              <w:t>教授、博士生导师、中国高等教育学会新闻学与传播学专业委员会理事长、教育部新闻学学科教育指导委员会副主任</w:t>
            </w:r>
          </w:p>
        </w:tc>
        <w:tc>
          <w:tcPr>
            <w:tcW w:w="2795" w:type="dxa"/>
            <w:shd w:val="clear" w:color="auto" w:fill="auto"/>
            <w:tcMar>
              <w:top w:w="90" w:type="dxa"/>
              <w:left w:w="45" w:type="dxa"/>
              <w:bottom w:w="90" w:type="dxa"/>
              <w:right w:w="45" w:type="dxa"/>
            </w:tcMar>
            <w:vAlign w:val="center"/>
          </w:tcPr>
          <w:p>
            <w:pPr>
              <w:jc w:val="left"/>
            </w:pPr>
            <w:r>
              <w:rPr>
                <w:rFonts w:hint="eastAsia"/>
              </w:rPr>
              <w:t>媒介融合、新媒体、新闻采写、数字化和全球化趋势下中国新闻传播创新性应用体系研究、中国互联网新闻传播结构功能与效果研究、数字媒体内容国家管理体系研究</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widowControl/>
              <w:spacing w:line="270" w:lineRule="atLeast"/>
              <w:jc w:val="left"/>
              <w:rPr>
                <w:rFonts w:ascii="宋体" w:hAnsi="宋体" w:eastAsia="宋体" w:cs="宋体"/>
                <w:color w:val="444444"/>
                <w:kern w:val="0"/>
                <w:sz w:val="18"/>
                <w:szCs w:val="18"/>
              </w:rPr>
            </w:pPr>
            <w:r>
              <w:rPr>
                <w:rFonts w:hint="eastAsia" w:ascii="仿宋" w:hAnsi="仿宋" w:eastAsia="仿宋"/>
                <w:szCs w:val="21"/>
              </w:rPr>
              <w:t>喻国明</w:t>
            </w:r>
            <w:r>
              <w:rPr>
                <w:rFonts w:hint="eastAsia" w:ascii="宋体" w:hAnsi="宋体" w:eastAsia="宋体" w:cs="宋体"/>
                <w:color w:val="444444"/>
                <w:kern w:val="0"/>
                <w:sz w:val="18"/>
                <w:szCs w:val="18"/>
              </w:rPr>
              <w:t> </w:t>
            </w:r>
            <w:r>
              <w:rPr>
                <w:rFonts w:ascii="宋体" w:hAnsi="宋体" w:eastAsia="宋体" w:cs="宋体"/>
                <w:color w:val="444444"/>
                <w:kern w:val="0"/>
                <w:sz w:val="18"/>
                <w:szCs w:val="18"/>
              </w:rPr>
              <w:drawing>
                <wp:inline distT="0" distB="0" distL="0" distR="0">
                  <wp:extent cx="106680" cy="114300"/>
                  <wp:effectExtent l="0" t="0" r="7620" b="0"/>
                  <wp:docPr id="12" name="图片 12" descr="http://www.rucedu.cn/uploads/allimg/150813/08-13_17292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http://www.rucedu.cn/uploads/allimg/150813/08-13_172920-3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680" cy="114300"/>
                          </a:xfrm>
                          <a:prstGeom prst="rect">
                            <a:avLst/>
                          </a:prstGeom>
                          <a:noFill/>
                          <a:ln>
                            <a:noFill/>
                          </a:ln>
                        </pic:spPr>
                      </pic:pic>
                    </a:graphicData>
                  </a:graphic>
                </wp:inline>
              </w:drawing>
            </w:r>
          </w:p>
        </w:tc>
        <w:tc>
          <w:tcPr>
            <w:tcW w:w="3544" w:type="dxa"/>
            <w:shd w:val="clear" w:color="auto" w:fill="auto"/>
            <w:tcMar>
              <w:top w:w="90" w:type="dxa"/>
              <w:left w:w="45" w:type="dxa"/>
              <w:bottom w:w="90" w:type="dxa"/>
              <w:right w:w="45" w:type="dxa"/>
            </w:tcMar>
            <w:vAlign w:val="center"/>
          </w:tcPr>
          <w:p>
            <w:pPr>
              <w:jc w:val="left"/>
            </w:pPr>
            <w:r>
              <w:rPr>
                <w:rFonts w:hint="eastAsia"/>
              </w:rPr>
              <w:t>教授、博士生导师、中国传播学会副会长、清华大学客座教授</w:t>
            </w:r>
          </w:p>
        </w:tc>
        <w:tc>
          <w:tcPr>
            <w:tcW w:w="2795" w:type="dxa"/>
            <w:shd w:val="clear" w:color="auto" w:fill="auto"/>
            <w:tcMar>
              <w:top w:w="90" w:type="dxa"/>
              <w:left w:w="45" w:type="dxa"/>
              <w:bottom w:w="90" w:type="dxa"/>
              <w:right w:w="45" w:type="dxa"/>
            </w:tcMar>
            <w:vAlign w:val="center"/>
          </w:tcPr>
          <w:p>
            <w:pPr>
              <w:jc w:val="left"/>
            </w:pPr>
            <w:r>
              <w:rPr>
                <w:rFonts w:hint="eastAsia"/>
              </w:rPr>
              <w:t>新闻传播理论、传媒经济与社会发展、传播学研究方法</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widowControl/>
              <w:spacing w:line="270" w:lineRule="atLeast"/>
              <w:jc w:val="left"/>
              <w:rPr>
                <w:rFonts w:ascii="宋体" w:hAnsi="宋体" w:eastAsia="宋体" w:cs="宋体"/>
                <w:color w:val="444444"/>
                <w:kern w:val="0"/>
                <w:sz w:val="18"/>
                <w:szCs w:val="18"/>
              </w:rPr>
            </w:pPr>
            <w:r>
              <w:rPr>
                <w:rFonts w:hint="eastAsia" w:ascii="仿宋" w:hAnsi="仿宋" w:eastAsia="仿宋"/>
                <w:szCs w:val="21"/>
              </w:rPr>
              <w:t>涂光晋</w:t>
            </w:r>
            <w:r>
              <w:rPr>
                <w:rFonts w:hint="eastAsia" w:ascii="宋体" w:hAnsi="宋体" w:eastAsia="宋体" w:cs="宋体"/>
                <w:color w:val="444444"/>
                <w:kern w:val="0"/>
                <w:sz w:val="18"/>
                <w:szCs w:val="18"/>
              </w:rPr>
              <w:t> </w:t>
            </w:r>
            <w:r>
              <w:rPr>
                <w:rFonts w:ascii="宋体" w:hAnsi="宋体" w:eastAsia="宋体" w:cs="宋体"/>
                <w:color w:val="444444"/>
                <w:kern w:val="0"/>
                <w:sz w:val="18"/>
                <w:szCs w:val="18"/>
              </w:rPr>
              <w:drawing>
                <wp:inline distT="0" distB="0" distL="0" distR="0">
                  <wp:extent cx="106680" cy="114300"/>
                  <wp:effectExtent l="0" t="0" r="7620" b="0"/>
                  <wp:docPr id="11" name="图片 11" descr="http://www.rucedu.cn/uploads/allimg/150813/08-13_17292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http://www.rucedu.cn/uploads/allimg/150813/08-13_172920-3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680" cy="114300"/>
                          </a:xfrm>
                          <a:prstGeom prst="rect">
                            <a:avLst/>
                          </a:prstGeom>
                          <a:noFill/>
                          <a:ln>
                            <a:noFill/>
                          </a:ln>
                        </pic:spPr>
                      </pic:pic>
                    </a:graphicData>
                  </a:graphic>
                </wp:inline>
              </w:drawing>
            </w:r>
          </w:p>
        </w:tc>
        <w:tc>
          <w:tcPr>
            <w:tcW w:w="3544" w:type="dxa"/>
            <w:shd w:val="clear" w:color="auto" w:fill="auto"/>
            <w:tcMar>
              <w:top w:w="90" w:type="dxa"/>
              <w:left w:w="45" w:type="dxa"/>
              <w:bottom w:w="90" w:type="dxa"/>
              <w:right w:w="45" w:type="dxa"/>
            </w:tcMar>
            <w:vAlign w:val="center"/>
          </w:tcPr>
          <w:p>
            <w:pPr>
              <w:jc w:val="left"/>
            </w:pPr>
            <w:r>
              <w:rPr>
                <w:rFonts w:hint="eastAsia"/>
              </w:rPr>
              <w:t>国家二级教授、博士生导师、享受国务院政府特殊津贴、教育部马克思主义理论研究和建设工程“新闻评论”第一首席专家</w:t>
            </w:r>
          </w:p>
        </w:tc>
        <w:tc>
          <w:tcPr>
            <w:tcW w:w="2795" w:type="dxa"/>
            <w:shd w:val="clear" w:color="auto" w:fill="auto"/>
            <w:tcMar>
              <w:top w:w="90" w:type="dxa"/>
              <w:left w:w="45" w:type="dxa"/>
              <w:bottom w:w="90" w:type="dxa"/>
              <w:right w:w="45" w:type="dxa"/>
            </w:tcMar>
            <w:vAlign w:val="center"/>
          </w:tcPr>
          <w:p>
            <w:pPr>
              <w:jc w:val="left"/>
            </w:pPr>
            <w:r>
              <w:rPr>
                <w:rFonts w:hint="eastAsia"/>
              </w:rPr>
              <w:t>公共关系、危机传播与管理、新闻评论</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widowControl/>
              <w:spacing w:line="270" w:lineRule="atLeast"/>
              <w:jc w:val="left"/>
              <w:rPr>
                <w:rFonts w:ascii="宋体" w:hAnsi="宋体" w:eastAsia="宋体" w:cs="宋体"/>
                <w:color w:val="444444"/>
                <w:kern w:val="0"/>
                <w:sz w:val="18"/>
                <w:szCs w:val="18"/>
              </w:rPr>
            </w:pPr>
            <w:r>
              <w:rPr>
                <w:rFonts w:hint="eastAsia" w:ascii="仿宋" w:hAnsi="仿宋" w:eastAsia="仿宋"/>
                <w:szCs w:val="21"/>
              </w:rPr>
              <w:t>胡百精</w:t>
            </w:r>
            <w:r>
              <w:rPr>
                <w:rFonts w:hint="eastAsia" w:ascii="宋体" w:hAnsi="宋体" w:eastAsia="宋体" w:cs="宋体"/>
                <w:color w:val="444444"/>
                <w:kern w:val="0"/>
                <w:sz w:val="18"/>
                <w:szCs w:val="18"/>
              </w:rPr>
              <w:t> </w:t>
            </w:r>
            <w:r>
              <w:rPr>
                <w:rFonts w:ascii="宋体" w:hAnsi="宋体" w:eastAsia="宋体" w:cs="宋体"/>
                <w:color w:val="444444"/>
                <w:kern w:val="0"/>
                <w:sz w:val="18"/>
                <w:szCs w:val="18"/>
              </w:rPr>
              <w:drawing>
                <wp:inline distT="0" distB="0" distL="0" distR="0">
                  <wp:extent cx="106680" cy="114300"/>
                  <wp:effectExtent l="0" t="0" r="7620" b="0"/>
                  <wp:docPr id="10" name="图片 10" descr="http://www.rucedu.cn/uploads/allimg/150813/08-13_17292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ttp://www.rucedu.cn/uploads/allimg/150813/08-13_172920-3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680" cy="114300"/>
                          </a:xfrm>
                          <a:prstGeom prst="rect">
                            <a:avLst/>
                          </a:prstGeom>
                          <a:noFill/>
                          <a:ln>
                            <a:noFill/>
                          </a:ln>
                        </pic:spPr>
                      </pic:pic>
                    </a:graphicData>
                  </a:graphic>
                </wp:inline>
              </w:drawing>
            </w:r>
          </w:p>
        </w:tc>
        <w:tc>
          <w:tcPr>
            <w:tcW w:w="3544" w:type="dxa"/>
            <w:shd w:val="clear" w:color="auto" w:fill="auto"/>
            <w:tcMar>
              <w:top w:w="90" w:type="dxa"/>
              <w:left w:w="45" w:type="dxa"/>
              <w:bottom w:w="90" w:type="dxa"/>
              <w:right w:w="45" w:type="dxa"/>
            </w:tcMar>
            <w:vAlign w:val="center"/>
          </w:tcPr>
          <w:p>
            <w:pPr>
              <w:jc w:val="left"/>
            </w:pPr>
            <w:r>
              <w:rPr>
                <w:rFonts w:hint="eastAsia"/>
              </w:rPr>
              <w:t>学院副院长、副教授、中国国际公关协会学术工作委员会副主任</w:t>
            </w:r>
          </w:p>
        </w:tc>
        <w:tc>
          <w:tcPr>
            <w:tcW w:w="2795" w:type="dxa"/>
            <w:shd w:val="clear" w:color="auto" w:fill="auto"/>
            <w:tcMar>
              <w:top w:w="90" w:type="dxa"/>
              <w:left w:w="45" w:type="dxa"/>
              <w:bottom w:w="90" w:type="dxa"/>
              <w:right w:w="45" w:type="dxa"/>
            </w:tcMar>
            <w:vAlign w:val="center"/>
          </w:tcPr>
          <w:p>
            <w:pPr>
              <w:jc w:val="left"/>
            </w:pPr>
            <w:r>
              <w:rPr>
                <w:rFonts w:hint="eastAsia"/>
              </w:rPr>
              <w:t>公共传播与社会认同、危机传播管理、公共关系学</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widowControl/>
              <w:spacing w:line="270" w:lineRule="atLeast"/>
              <w:jc w:val="left"/>
              <w:rPr>
                <w:rFonts w:ascii="宋体" w:hAnsi="宋体" w:eastAsia="宋体" w:cs="宋体"/>
                <w:color w:val="444444"/>
                <w:kern w:val="0"/>
                <w:sz w:val="18"/>
                <w:szCs w:val="18"/>
              </w:rPr>
            </w:pPr>
            <w:r>
              <w:rPr>
                <w:rFonts w:hint="eastAsia" w:ascii="仿宋" w:hAnsi="仿宋" w:eastAsia="仿宋"/>
                <w:szCs w:val="21"/>
              </w:rPr>
              <w:t>倪宁</w:t>
            </w:r>
            <w:r>
              <w:rPr>
                <w:rFonts w:hint="eastAsia" w:ascii="宋体" w:hAnsi="宋体" w:eastAsia="宋体" w:cs="宋体"/>
                <w:color w:val="444444"/>
                <w:kern w:val="0"/>
                <w:sz w:val="18"/>
                <w:szCs w:val="18"/>
              </w:rPr>
              <w:t> </w:t>
            </w:r>
            <w:r>
              <w:rPr>
                <w:rFonts w:ascii="宋体" w:hAnsi="宋体" w:eastAsia="宋体" w:cs="宋体"/>
                <w:color w:val="444444"/>
                <w:kern w:val="0"/>
                <w:sz w:val="18"/>
                <w:szCs w:val="18"/>
              </w:rPr>
              <w:drawing>
                <wp:inline distT="0" distB="0" distL="0" distR="0">
                  <wp:extent cx="106680" cy="114300"/>
                  <wp:effectExtent l="0" t="0" r="7620" b="0"/>
                  <wp:docPr id="9" name="图片 9" descr="http://www.rucedu.cn/uploads/allimg/150813/08-13_17292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http://www.rucedu.cn/uploads/allimg/150813/08-13_172920-3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680" cy="114300"/>
                          </a:xfrm>
                          <a:prstGeom prst="rect">
                            <a:avLst/>
                          </a:prstGeom>
                          <a:noFill/>
                          <a:ln>
                            <a:noFill/>
                          </a:ln>
                        </pic:spPr>
                      </pic:pic>
                    </a:graphicData>
                  </a:graphic>
                </wp:inline>
              </w:drawing>
            </w:r>
          </w:p>
        </w:tc>
        <w:tc>
          <w:tcPr>
            <w:tcW w:w="3544" w:type="dxa"/>
            <w:shd w:val="clear" w:color="auto" w:fill="auto"/>
            <w:tcMar>
              <w:top w:w="90" w:type="dxa"/>
              <w:left w:w="45" w:type="dxa"/>
              <w:bottom w:w="90" w:type="dxa"/>
              <w:right w:w="45" w:type="dxa"/>
            </w:tcMar>
            <w:vAlign w:val="center"/>
          </w:tcPr>
          <w:p>
            <w:pPr>
              <w:jc w:val="left"/>
            </w:pPr>
            <w:r>
              <w:rPr>
                <w:rFonts w:hint="eastAsia"/>
              </w:rPr>
              <w:t>教授、博士生导师、教育部高等学校新闻传播学类专业教学指导委员会副主任；中国高等教育学会广告学专业副理事长</w:t>
            </w:r>
          </w:p>
        </w:tc>
        <w:tc>
          <w:tcPr>
            <w:tcW w:w="2795" w:type="dxa"/>
            <w:shd w:val="clear" w:color="auto" w:fill="auto"/>
            <w:tcMar>
              <w:top w:w="90" w:type="dxa"/>
              <w:left w:w="45" w:type="dxa"/>
              <w:bottom w:w="90" w:type="dxa"/>
              <w:right w:w="45" w:type="dxa"/>
            </w:tcMar>
            <w:vAlign w:val="center"/>
          </w:tcPr>
          <w:p>
            <w:pPr>
              <w:jc w:val="left"/>
            </w:pPr>
            <w:r>
              <w:rPr>
                <w:rFonts w:hint="eastAsia"/>
              </w:rPr>
              <w:t>广告传播研究、新闻业务</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c>
          <w:tcPr>
            <w:tcW w:w="1746" w:type="dxa"/>
            <w:shd w:val="clear" w:color="auto" w:fill="auto"/>
            <w:tcMar>
              <w:top w:w="90" w:type="dxa"/>
              <w:left w:w="45" w:type="dxa"/>
              <w:bottom w:w="90" w:type="dxa"/>
              <w:right w:w="45" w:type="dxa"/>
            </w:tcMar>
            <w:vAlign w:val="center"/>
          </w:tcPr>
          <w:p>
            <w:pPr>
              <w:widowControl/>
              <w:spacing w:line="270" w:lineRule="atLeast"/>
              <w:jc w:val="left"/>
              <w:rPr>
                <w:rFonts w:ascii="宋体" w:hAnsi="宋体" w:eastAsia="宋体" w:cs="宋体"/>
                <w:color w:val="444444"/>
                <w:kern w:val="0"/>
                <w:sz w:val="18"/>
                <w:szCs w:val="18"/>
              </w:rPr>
            </w:pPr>
            <w:r>
              <w:rPr>
                <w:rFonts w:hint="eastAsia" w:ascii="仿宋" w:hAnsi="仿宋" w:eastAsia="仿宋"/>
                <w:szCs w:val="21"/>
              </w:rPr>
              <w:t>蔡雯</w:t>
            </w:r>
            <w:r>
              <w:rPr>
                <w:rFonts w:hint="eastAsia" w:ascii="宋体" w:hAnsi="宋体" w:eastAsia="宋体" w:cs="宋体"/>
                <w:color w:val="444444"/>
                <w:kern w:val="0"/>
                <w:sz w:val="18"/>
                <w:szCs w:val="18"/>
              </w:rPr>
              <w:t> </w:t>
            </w:r>
            <w:r>
              <w:rPr>
                <w:rFonts w:ascii="宋体" w:hAnsi="宋体" w:eastAsia="宋体" w:cs="宋体"/>
                <w:color w:val="444444"/>
                <w:kern w:val="0"/>
                <w:sz w:val="18"/>
                <w:szCs w:val="18"/>
              </w:rPr>
              <w:drawing>
                <wp:inline distT="0" distB="0" distL="0" distR="0">
                  <wp:extent cx="106680" cy="114300"/>
                  <wp:effectExtent l="0" t="0" r="7620" b="0"/>
                  <wp:docPr id="8" name="图片 8" descr="http://www.rucedu.cn/uploads/allimg/150813/08-13_17292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ttp://www.rucedu.cn/uploads/allimg/150813/08-13_172920-33.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680" cy="114300"/>
                          </a:xfrm>
                          <a:prstGeom prst="rect">
                            <a:avLst/>
                          </a:prstGeom>
                          <a:noFill/>
                          <a:ln>
                            <a:noFill/>
                          </a:ln>
                        </pic:spPr>
                      </pic:pic>
                    </a:graphicData>
                  </a:graphic>
                </wp:inline>
              </w:drawing>
            </w:r>
          </w:p>
        </w:tc>
        <w:tc>
          <w:tcPr>
            <w:tcW w:w="3544" w:type="dxa"/>
            <w:shd w:val="clear" w:color="auto" w:fill="auto"/>
            <w:tcMar>
              <w:top w:w="90" w:type="dxa"/>
              <w:left w:w="45" w:type="dxa"/>
              <w:bottom w:w="90" w:type="dxa"/>
              <w:right w:w="45" w:type="dxa"/>
            </w:tcMar>
            <w:vAlign w:val="center"/>
          </w:tcPr>
          <w:p>
            <w:pPr>
              <w:jc w:val="left"/>
            </w:pPr>
            <w:r>
              <w:rPr>
                <w:rFonts w:hint="eastAsia"/>
              </w:rPr>
              <w:t>国家二级教授、学院党委书记兼副院长、博士生导师、中国新闻教育史学会副会长</w:t>
            </w:r>
          </w:p>
        </w:tc>
        <w:tc>
          <w:tcPr>
            <w:tcW w:w="2795" w:type="dxa"/>
            <w:shd w:val="clear" w:color="auto" w:fill="auto"/>
            <w:tcMar>
              <w:top w:w="90" w:type="dxa"/>
              <w:left w:w="45" w:type="dxa"/>
              <w:bottom w:w="90" w:type="dxa"/>
              <w:right w:w="45" w:type="dxa"/>
            </w:tcMar>
            <w:vAlign w:val="center"/>
          </w:tcPr>
          <w:p>
            <w:pPr>
              <w:jc w:val="left"/>
            </w:pPr>
            <w:r>
              <w:rPr>
                <w:rFonts w:hint="eastAsia"/>
              </w:rPr>
              <w:t>新闻传播策划与组织研究、新闻报道策划与新闻资源开发、公共新闻传播、媒介融合与新闻业务改革、新闻传播学案例库开发</w:t>
            </w:r>
          </w:p>
        </w:tc>
      </w:tr>
    </w:tbl>
    <w:p>
      <w:pPr>
        <w:rPr>
          <w:rFonts w:ascii="宋体" w:hAnsi="宋体" w:eastAsia="宋体" w:cs="宋体"/>
          <w:b/>
          <w:bCs/>
          <w:color w:val="444444"/>
          <w:kern w:val="0"/>
          <w:sz w:val="30"/>
          <w:szCs w:val="30"/>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四、教学办法</w:t>
      </w:r>
    </w:p>
    <w:p>
      <w:pPr>
        <w:ind w:firstLine="640" w:firstLineChars="200"/>
        <w:rPr>
          <w:rFonts w:ascii="仿宋" w:hAnsi="仿宋" w:eastAsia="仿宋"/>
          <w:sz w:val="32"/>
          <w:szCs w:val="32"/>
        </w:rPr>
      </w:pPr>
      <w:r>
        <w:rPr>
          <w:rFonts w:hint="eastAsia" w:ascii="仿宋" w:hAnsi="仿宋" w:eastAsia="仿宋"/>
          <w:sz w:val="32"/>
          <w:szCs w:val="32"/>
        </w:rPr>
        <w:t>上课地点：中国人民大学校内。</w:t>
      </w:r>
    </w:p>
    <w:p>
      <w:pPr>
        <w:ind w:firstLine="640" w:firstLineChars="200"/>
      </w:pPr>
      <w:r>
        <w:rPr>
          <w:rFonts w:hint="eastAsia" w:ascii="仿宋" w:hAnsi="仿宋" w:eastAsia="仿宋"/>
          <w:sz w:val="32"/>
          <w:szCs w:val="32"/>
        </w:rPr>
        <w:t>学习期间采取理论与实践相结合、课堂讲授与自学相结合的方式。面授时间为隔周周末，每门课程讲授约24个学时。</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五、学制</w:t>
      </w:r>
    </w:p>
    <w:p>
      <w:pPr>
        <w:ind w:firstLine="640" w:firstLineChars="200"/>
        <w:rPr>
          <w:rFonts w:ascii="仿宋" w:hAnsi="仿宋" w:eastAsia="仿宋"/>
          <w:sz w:val="32"/>
          <w:szCs w:val="32"/>
        </w:rPr>
      </w:pPr>
      <w:r>
        <w:rPr>
          <w:rFonts w:hint="eastAsia" w:ascii="仿宋" w:hAnsi="仿宋" w:eastAsia="仿宋"/>
          <w:sz w:val="32"/>
          <w:szCs w:val="32"/>
        </w:rPr>
        <w:t>2年</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六、联系方式</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课程咨询：王老师、陈老师</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电话： 010-59480917</w:t>
      </w:r>
      <w:bookmarkStart w:id="0" w:name="_GoBack"/>
      <w:bookmarkEnd w:id="0"/>
    </w:p>
    <w:p>
      <w:pPr>
        <w:rPr>
          <w:rFonts w:ascii="仿宋" w:hAnsi="仿宋" w:eastAsia="仿宋"/>
          <w:sz w:val="32"/>
          <w:szCs w:val="32"/>
        </w:rPr>
      </w:pPr>
      <w:r>
        <w:rPr>
          <w:rFonts w:hint="eastAsia" w:ascii="仿宋" w:hAnsi="仿宋" w:eastAsia="仿宋"/>
          <w:sz w:val="32"/>
          <w:szCs w:val="32"/>
        </w:rPr>
        <w:t>报名地址：中国人民大学明德新闻楼0506室</w:t>
      </w:r>
    </w:p>
    <w:p>
      <w:pPr>
        <w:rPr>
          <w:rFonts w:ascii="仿宋" w:hAnsi="仿宋" w:eastAsia="仿宋"/>
          <w:sz w:val="32"/>
          <w:szCs w:val="32"/>
        </w:rPr>
      </w:pPr>
      <w:r>
        <w:rPr>
          <w:rFonts w:hint="eastAsia" w:ascii="仿宋" w:hAnsi="仿宋" w:eastAsia="仿宋"/>
          <w:sz w:val="32"/>
          <w:szCs w:val="32"/>
        </w:rPr>
        <w:t>报名时间：周一至周日(9：00——17：30)</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七、报名条件</w:t>
      </w:r>
    </w:p>
    <w:p>
      <w:pPr>
        <w:rPr>
          <w:rFonts w:ascii="仿宋" w:hAnsi="仿宋" w:eastAsia="仿宋"/>
          <w:sz w:val="32"/>
          <w:szCs w:val="32"/>
        </w:rPr>
      </w:pPr>
      <w:r>
        <w:rPr>
          <w:rFonts w:hint="eastAsia" w:ascii="仿宋" w:hAnsi="仿宋" w:eastAsia="仿宋"/>
          <w:sz w:val="32"/>
          <w:szCs w:val="32"/>
        </w:rPr>
        <w:t>1、拥护《中华人民共和国宪法》，遵守法律、法规，思想政治表现好，优秀业务骨干，身体健康，并能坚持在职学习者。</w:t>
      </w:r>
    </w:p>
    <w:p>
      <w:pPr>
        <w:rPr>
          <w:rFonts w:ascii="仿宋" w:hAnsi="仿宋" w:eastAsia="仿宋"/>
          <w:sz w:val="32"/>
          <w:szCs w:val="32"/>
        </w:rPr>
      </w:pPr>
      <w:r>
        <w:rPr>
          <w:rFonts w:hint="eastAsia" w:ascii="仿宋" w:hAnsi="仿宋" w:eastAsia="仿宋"/>
          <w:sz w:val="32"/>
          <w:szCs w:val="32"/>
        </w:rPr>
        <w:t>2、具备大专以上学历者，均可报名参加学习。</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八、报名办法</w:t>
      </w:r>
    </w:p>
    <w:p>
      <w:pPr>
        <w:rPr>
          <w:rFonts w:ascii="仿宋" w:hAnsi="仿宋" w:eastAsia="仿宋"/>
          <w:sz w:val="32"/>
          <w:szCs w:val="32"/>
        </w:rPr>
      </w:pPr>
      <w:r>
        <w:rPr>
          <w:rFonts w:hint="eastAsia" w:ascii="仿宋" w:hAnsi="仿宋" w:eastAsia="仿宋"/>
          <w:sz w:val="32"/>
          <w:szCs w:val="32"/>
        </w:rPr>
        <w:t>1、报名时间：即日起开始报名</w:t>
      </w:r>
    </w:p>
    <w:p>
      <w:pPr>
        <w:rPr>
          <w:rFonts w:ascii="仿宋" w:hAnsi="仿宋" w:eastAsia="仿宋"/>
          <w:sz w:val="32"/>
          <w:szCs w:val="32"/>
        </w:rPr>
      </w:pPr>
      <w:r>
        <w:rPr>
          <w:rFonts w:hint="eastAsia" w:ascii="仿宋" w:hAnsi="仿宋" w:eastAsia="仿宋"/>
          <w:sz w:val="32"/>
          <w:szCs w:val="32"/>
        </w:rPr>
        <w:t>2、报名地点：中国人民大学明德新闻楼0506室</w:t>
      </w:r>
    </w:p>
    <w:p>
      <w:pPr>
        <w:rPr>
          <w:rFonts w:ascii="仿宋" w:hAnsi="仿宋" w:eastAsia="仿宋"/>
          <w:sz w:val="32"/>
          <w:szCs w:val="32"/>
        </w:rPr>
      </w:pPr>
      <w:r>
        <w:rPr>
          <w:rFonts w:hint="eastAsia" w:ascii="仿宋" w:hAnsi="仿宋" w:eastAsia="仿宋"/>
          <w:sz w:val="32"/>
          <w:szCs w:val="32"/>
        </w:rPr>
        <w:t>3、报名手续：</w:t>
      </w:r>
    </w:p>
    <w:p>
      <w:pPr>
        <w:rPr>
          <w:rFonts w:ascii="仿宋" w:hAnsi="仿宋" w:eastAsia="仿宋"/>
          <w:sz w:val="32"/>
          <w:szCs w:val="32"/>
        </w:rPr>
      </w:pPr>
      <w:r>
        <w:rPr>
          <w:rFonts w:hint="eastAsia" w:ascii="仿宋" w:hAnsi="仿宋" w:eastAsia="仿宋"/>
          <w:sz w:val="32"/>
          <w:szCs w:val="32"/>
        </w:rPr>
        <w:t>(1)到报名地点注册，登记报名。</w:t>
      </w:r>
    </w:p>
    <w:p>
      <w:pPr>
        <w:rPr>
          <w:rFonts w:ascii="仿宋" w:hAnsi="仿宋" w:eastAsia="仿宋"/>
          <w:sz w:val="32"/>
          <w:szCs w:val="32"/>
        </w:rPr>
      </w:pPr>
      <w:r>
        <w:rPr>
          <w:rFonts w:hint="eastAsia" w:ascii="仿宋" w:hAnsi="仿宋" w:eastAsia="仿宋"/>
          <w:sz w:val="32"/>
          <w:szCs w:val="32"/>
        </w:rPr>
        <w:t>(2)填写在职人员在职课程研修班报名登记表。</w:t>
      </w:r>
    </w:p>
    <w:p>
      <w:pPr>
        <w:rPr>
          <w:rFonts w:ascii="仿宋" w:hAnsi="仿宋" w:eastAsia="仿宋"/>
          <w:sz w:val="32"/>
          <w:szCs w:val="32"/>
        </w:rPr>
      </w:pPr>
      <w:r>
        <w:rPr>
          <w:rFonts w:hint="eastAsia" w:ascii="仿宋" w:hAnsi="仿宋" w:eastAsia="仿宋"/>
          <w:sz w:val="32"/>
          <w:szCs w:val="32"/>
        </w:rPr>
        <w:t>(3)本人最后学历证书和学位证书原件、复印件，身份证复印件。</w:t>
      </w:r>
    </w:p>
    <w:p>
      <w:pPr>
        <w:rPr>
          <w:rFonts w:ascii="仿宋" w:hAnsi="仿宋" w:eastAsia="仿宋"/>
          <w:sz w:val="32"/>
          <w:szCs w:val="32"/>
        </w:rPr>
      </w:pPr>
      <w:r>
        <w:rPr>
          <w:rFonts w:hint="eastAsia" w:ascii="仿宋" w:hAnsi="仿宋" w:eastAsia="仿宋"/>
          <w:sz w:val="32"/>
          <w:szCs w:val="32"/>
        </w:rPr>
        <w:t>(4)一寸同底彩色证件照1张。</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九、收费标准</w:t>
      </w:r>
    </w:p>
    <w:p>
      <w:pPr>
        <w:rPr>
          <w:rFonts w:ascii="仿宋" w:hAnsi="仿宋" w:eastAsia="仿宋"/>
          <w:sz w:val="32"/>
          <w:szCs w:val="32"/>
        </w:rPr>
      </w:pPr>
      <w:r>
        <w:rPr>
          <w:rFonts w:hint="eastAsia" w:ascii="仿宋" w:hAnsi="仿宋" w:eastAsia="仿宋"/>
          <w:sz w:val="32"/>
          <w:szCs w:val="32"/>
        </w:rPr>
        <w:t>研修班学费30000元(两年)，书费、资料费自理。学费一次性交清。</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十、证书</w:t>
      </w:r>
    </w:p>
    <w:p>
      <w:pPr>
        <w:rPr>
          <w:rFonts w:ascii="仿宋" w:hAnsi="仿宋" w:eastAsia="仿宋"/>
          <w:sz w:val="32"/>
          <w:szCs w:val="32"/>
        </w:rPr>
      </w:pPr>
      <w:r>
        <w:rPr>
          <w:rFonts w:ascii="仿宋" w:hAnsi="仿宋" w:eastAsia="仿宋"/>
          <w:sz w:val="32"/>
          <w:szCs w:val="32"/>
        </w:rPr>
        <w:t>1、学员完成课程设置中所规定的课程并考试（考核）成绩合格者即可结业。</w:t>
      </w:r>
      <w:r>
        <w:rPr>
          <w:rFonts w:ascii="仿宋" w:hAnsi="仿宋" w:eastAsia="仿宋"/>
          <w:sz w:val="32"/>
          <w:szCs w:val="32"/>
        </w:rPr>
        <w:br w:type="textWrapping"/>
      </w:r>
      <w:r>
        <w:rPr>
          <w:rFonts w:ascii="仿宋" w:hAnsi="仿宋" w:eastAsia="仿宋"/>
          <w:sz w:val="32"/>
          <w:szCs w:val="32"/>
        </w:rPr>
        <w:t>2、结业学员获加盖学校钢印和红章的《</w:t>
      </w:r>
      <w:r>
        <w:rPr>
          <w:rFonts w:hint="eastAsia" w:ascii="仿宋" w:hAnsi="仿宋" w:eastAsia="仿宋"/>
          <w:sz w:val="32"/>
          <w:szCs w:val="32"/>
        </w:rPr>
        <w:t>中国人民</w:t>
      </w:r>
      <w:r>
        <w:rPr>
          <w:rFonts w:ascii="仿宋" w:hAnsi="仿宋" w:eastAsia="仿宋"/>
          <w:sz w:val="32"/>
          <w:szCs w:val="32"/>
        </w:rPr>
        <w:t>大学研修班结业证书》。</w:t>
      </w:r>
      <w:r>
        <w:rPr>
          <w:rFonts w:ascii="仿宋" w:hAnsi="仿宋" w:eastAsia="仿宋"/>
          <w:sz w:val="32"/>
          <w:szCs w:val="32"/>
        </w:rPr>
        <w:br w:type="textWrapping"/>
      </w:r>
      <w:r>
        <w:rPr>
          <w:rFonts w:ascii="仿宋" w:hAnsi="仿宋" w:eastAsia="仿宋"/>
          <w:sz w:val="32"/>
          <w:szCs w:val="32"/>
        </w:rPr>
        <w:t>3、符合申请硕士学位条件的学员（取得国家承认学士学位）可按我校有关规定申请</w:t>
      </w:r>
      <w:r>
        <w:rPr>
          <w:rFonts w:hint="eastAsia" w:ascii="仿宋" w:hAnsi="仿宋" w:eastAsia="仿宋"/>
          <w:sz w:val="32"/>
          <w:szCs w:val="32"/>
        </w:rPr>
        <w:t>中国人民大学文学</w:t>
      </w:r>
      <w:r>
        <w:rPr>
          <w:rFonts w:ascii="仿宋" w:hAnsi="仿宋" w:eastAsia="仿宋"/>
          <w:sz w:val="32"/>
          <w:szCs w:val="32"/>
        </w:rPr>
        <w:t>硕士学位。</w:t>
      </w:r>
    </w:p>
    <w:p>
      <w:pPr>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该学位证书与统招生学位证书具有相同的法律效力与社会认可度</w:t>
      </w:r>
      <w:r>
        <w:rPr>
          <w:rFonts w:hint="eastAsia" w:ascii="仿宋" w:hAnsi="仿宋" w:eastAsia="仿宋"/>
          <w:sz w:val="32"/>
          <w:szCs w:val="32"/>
        </w:rPr>
        <w:t>。</w:t>
      </w:r>
    </w:p>
    <w:p>
      <w:pPr>
        <w:rPr>
          <w:rFonts w:ascii="仿宋" w:hAnsi="仿宋" w:eastAsia="仿宋"/>
          <w:sz w:val="32"/>
          <w:szCs w:val="32"/>
        </w:rPr>
      </w:pPr>
      <w:r>
        <w:rPr>
          <w:rFonts w:hint="eastAsia" w:ascii="黑体" w:hAnsi="黑体" w:eastAsia="黑体" w:cs="宋体"/>
          <w:b/>
          <w:bCs/>
          <w:color w:val="444444"/>
          <w:kern w:val="0"/>
          <w:sz w:val="30"/>
          <w:szCs w:val="30"/>
        </w:rPr>
        <w:t>十一、</w:t>
      </w:r>
      <w:r>
        <w:rPr>
          <w:rFonts w:ascii="黑体" w:hAnsi="黑体" w:eastAsia="黑体" w:cs="宋体"/>
          <w:color w:val="444444"/>
          <w:kern w:val="0"/>
          <w:sz w:val="30"/>
          <w:szCs w:val="30"/>
        </w:rPr>
        <w:t>申请硕士学位及方法</w:t>
      </w:r>
      <w:r>
        <w:rPr>
          <w:rFonts w:ascii="Tahoma" w:hAnsi="Tahoma" w:cs="Tahoma"/>
          <w:b/>
          <w:bCs/>
          <w:color w:val="000000"/>
          <w:szCs w:val="21"/>
          <w:shd w:val="clear" w:color="auto" w:fill="FFFFFF"/>
        </w:rPr>
        <w:br w:type="textWrapping"/>
      </w:r>
      <w:r>
        <w:rPr>
          <w:rFonts w:ascii="仿宋" w:hAnsi="仿宋" w:eastAsia="仿宋"/>
          <w:sz w:val="32"/>
          <w:szCs w:val="32"/>
        </w:rPr>
        <w:t>1、申请学位按照</w:t>
      </w:r>
      <w:r>
        <w:rPr>
          <w:rFonts w:hint="eastAsia" w:ascii="仿宋" w:hAnsi="仿宋" w:eastAsia="仿宋"/>
          <w:sz w:val="32"/>
          <w:szCs w:val="32"/>
        </w:rPr>
        <w:t>中国人民</w:t>
      </w:r>
      <w:r>
        <w:rPr>
          <w:rFonts w:ascii="仿宋" w:hAnsi="仿宋" w:eastAsia="仿宋"/>
          <w:sz w:val="32"/>
          <w:szCs w:val="32"/>
        </w:rPr>
        <w:t>大学研究生</w:t>
      </w:r>
      <w:r>
        <w:rPr>
          <w:rFonts w:hint="eastAsia" w:ascii="仿宋" w:hAnsi="仿宋" w:eastAsia="仿宋"/>
          <w:sz w:val="32"/>
          <w:szCs w:val="32"/>
        </w:rPr>
        <w:t>院</w:t>
      </w:r>
      <w:r>
        <w:rPr>
          <w:rFonts w:ascii="仿宋" w:hAnsi="仿宋" w:eastAsia="仿宋"/>
          <w:sz w:val="32"/>
          <w:szCs w:val="32"/>
        </w:rPr>
        <w:t>学位办公室关于以研究生毕业同等学力申请硕士学位的规定办理。所交学费不包括进入论文阶段后的费用。</w:t>
      </w:r>
      <w:r>
        <w:rPr>
          <w:rFonts w:hint="eastAsia" w:ascii="宋体" w:hAnsi="宋体" w:eastAsia="宋体" w:cs="宋体"/>
          <w:sz w:val="32"/>
          <w:szCs w:val="32"/>
        </w:rPr>
        <w:t> </w:t>
      </w:r>
      <w:r>
        <w:rPr>
          <w:rFonts w:ascii="仿宋" w:hAnsi="仿宋" w:eastAsia="仿宋"/>
          <w:sz w:val="32"/>
          <w:szCs w:val="32"/>
        </w:rPr>
        <w:br w:type="textWrapping"/>
      </w:r>
      <w:r>
        <w:rPr>
          <w:rFonts w:ascii="仿宋" w:hAnsi="仿宋" w:eastAsia="仿宋"/>
          <w:sz w:val="32"/>
          <w:szCs w:val="32"/>
        </w:rPr>
        <w:t>2、报名参加在职课程研修班学习的人员，可在报名时提出以研究生毕业同等学力申请硕士学位。</w:t>
      </w:r>
      <w:r>
        <w:rPr>
          <w:rFonts w:hint="eastAsia" w:ascii="宋体" w:hAnsi="宋体" w:eastAsia="宋体" w:cs="宋体"/>
          <w:sz w:val="32"/>
          <w:szCs w:val="32"/>
        </w:rPr>
        <w:t> </w:t>
      </w:r>
      <w:r>
        <w:rPr>
          <w:rFonts w:ascii="仿宋" w:hAnsi="仿宋" w:eastAsia="仿宋"/>
          <w:sz w:val="32"/>
          <w:szCs w:val="32"/>
        </w:rPr>
        <w:br w:type="textWrapping"/>
      </w:r>
      <w:r>
        <w:rPr>
          <w:rFonts w:ascii="仿宋" w:hAnsi="仿宋" w:eastAsia="仿宋"/>
          <w:sz w:val="32"/>
          <w:szCs w:val="32"/>
        </w:rPr>
        <w:t>3、国家统一组织的英语和学科综合水平考试，由我院协助学员到研究生部办理手续，费用按规定由学员交纳。</w:t>
      </w:r>
      <w:r>
        <w:rPr>
          <w:rFonts w:hint="eastAsia" w:ascii="宋体" w:hAnsi="宋体" w:eastAsia="宋体" w:cs="宋体"/>
          <w:sz w:val="32"/>
          <w:szCs w:val="32"/>
        </w:rPr>
        <w:t> </w:t>
      </w:r>
      <w:r>
        <w:rPr>
          <w:rFonts w:ascii="仿宋" w:hAnsi="仿宋" w:eastAsia="仿宋"/>
          <w:sz w:val="32"/>
          <w:szCs w:val="32"/>
        </w:rPr>
        <w:br w:type="textWrapping"/>
      </w:r>
      <w:r>
        <w:rPr>
          <w:rFonts w:ascii="仿宋" w:hAnsi="仿宋" w:eastAsia="仿宋"/>
          <w:sz w:val="32"/>
          <w:szCs w:val="32"/>
        </w:rPr>
        <w:t>4、我院将为学员安排教师进行学位论文的指导。</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spacing w:line="400" w:lineRule="exact"/>
        <w:ind w:firstLine="157" w:firstLineChars="49"/>
        <w:jc w:val="center"/>
        <w:rPr>
          <w:rFonts w:hint="eastAsia" w:ascii="黑体" w:eastAsia="黑体"/>
          <w:b/>
          <w:sz w:val="32"/>
          <w:szCs w:val="32"/>
        </w:rPr>
      </w:pPr>
      <w:r>
        <w:rPr>
          <w:rFonts w:hint="eastAsia" w:ascii="黑体" w:eastAsia="黑体"/>
          <w:b/>
          <w:sz w:val="32"/>
          <w:szCs w:val="32"/>
        </w:rPr>
        <w:t>报 名 登 记 表</w:t>
      </w:r>
    </w:p>
    <w:tbl>
      <w:tblPr>
        <w:tblStyle w:val="6"/>
        <w:tblpPr w:leftFromText="180" w:rightFromText="180" w:vertAnchor="text" w:horzAnchor="page" w:tblpX="1132" w:tblpY="957"/>
        <w:tblOverlap w:val="never"/>
        <w:tblW w:w="9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476"/>
        <w:gridCol w:w="1434"/>
        <w:gridCol w:w="6"/>
        <w:gridCol w:w="282"/>
        <w:gridCol w:w="57"/>
        <w:gridCol w:w="651"/>
        <w:gridCol w:w="84"/>
        <w:gridCol w:w="1192"/>
        <w:gridCol w:w="1154"/>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trPr>
        <w:tc>
          <w:tcPr>
            <w:tcW w:w="1872" w:type="dxa"/>
            <w:vAlign w:val="center"/>
          </w:tcPr>
          <w:p>
            <w:pPr>
              <w:jc w:val="center"/>
              <w:rPr>
                <w:rFonts w:hint="eastAsia"/>
                <w:sz w:val="24"/>
              </w:rPr>
            </w:pPr>
            <w:r>
              <w:rPr>
                <w:rFonts w:hint="eastAsia"/>
                <w:sz w:val="24"/>
              </w:rPr>
              <w:t>专   业</w:t>
            </w:r>
          </w:p>
        </w:tc>
        <w:tc>
          <w:tcPr>
            <w:tcW w:w="2910" w:type="dxa"/>
            <w:gridSpan w:val="2"/>
            <w:vAlign w:val="center"/>
          </w:tcPr>
          <w:p>
            <w:pPr>
              <w:jc w:val="center"/>
              <w:rPr>
                <w:rFonts w:hint="eastAsia"/>
                <w:sz w:val="24"/>
              </w:rPr>
            </w:pPr>
          </w:p>
        </w:tc>
        <w:tc>
          <w:tcPr>
            <w:tcW w:w="996" w:type="dxa"/>
            <w:gridSpan w:val="4"/>
            <w:vAlign w:val="center"/>
          </w:tcPr>
          <w:p>
            <w:pPr>
              <w:jc w:val="center"/>
              <w:rPr>
                <w:rFonts w:hint="eastAsia"/>
                <w:sz w:val="24"/>
              </w:rPr>
            </w:pPr>
            <w:r>
              <w:rPr>
                <w:rFonts w:hint="eastAsia"/>
                <w:sz w:val="24"/>
              </w:rPr>
              <w:t>方  向</w:t>
            </w:r>
          </w:p>
        </w:tc>
        <w:tc>
          <w:tcPr>
            <w:tcW w:w="2430" w:type="dxa"/>
            <w:gridSpan w:val="3"/>
            <w:vAlign w:val="center"/>
          </w:tcPr>
          <w:p>
            <w:pPr>
              <w:jc w:val="center"/>
              <w:rPr>
                <w:rFonts w:hint="eastAsia"/>
                <w:sz w:val="24"/>
              </w:rPr>
            </w:pPr>
          </w:p>
        </w:tc>
        <w:tc>
          <w:tcPr>
            <w:tcW w:w="1627" w:type="dxa"/>
            <w:vMerge w:val="restart"/>
            <w:vAlign w:val="center"/>
          </w:tcPr>
          <w:p>
            <w:pPr>
              <w:jc w:val="center"/>
              <w:rPr>
                <w:sz w:val="24"/>
              </w:rPr>
            </w:pPr>
            <w:r>
              <w:rPr>
                <w:rFonts w:hint="eastAsia"/>
                <w:sz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872" w:type="dxa"/>
            <w:vAlign w:val="center"/>
          </w:tcPr>
          <w:p>
            <w:pPr>
              <w:jc w:val="center"/>
              <w:rPr>
                <w:sz w:val="24"/>
              </w:rPr>
            </w:pPr>
            <w:r>
              <w:rPr>
                <w:rFonts w:hint="eastAsia"/>
                <w:sz w:val="24"/>
              </w:rPr>
              <w:t>姓    名</w:t>
            </w:r>
          </w:p>
        </w:tc>
        <w:tc>
          <w:tcPr>
            <w:tcW w:w="1476" w:type="dxa"/>
            <w:vAlign w:val="center"/>
          </w:tcPr>
          <w:p>
            <w:pPr>
              <w:jc w:val="center"/>
              <w:rPr>
                <w:rFonts w:hint="eastAsia"/>
                <w:sz w:val="24"/>
              </w:rPr>
            </w:pPr>
          </w:p>
        </w:tc>
        <w:tc>
          <w:tcPr>
            <w:tcW w:w="1440" w:type="dxa"/>
            <w:gridSpan w:val="2"/>
            <w:vAlign w:val="center"/>
          </w:tcPr>
          <w:p>
            <w:pPr>
              <w:jc w:val="center"/>
              <w:rPr>
                <w:sz w:val="24"/>
              </w:rPr>
            </w:pPr>
            <w:r>
              <w:rPr>
                <w:rFonts w:hint="eastAsia"/>
                <w:sz w:val="24"/>
              </w:rPr>
              <w:t>身份证号</w:t>
            </w:r>
          </w:p>
        </w:tc>
        <w:tc>
          <w:tcPr>
            <w:tcW w:w="3420" w:type="dxa"/>
            <w:gridSpan w:val="6"/>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trPr>
        <w:tc>
          <w:tcPr>
            <w:tcW w:w="1872" w:type="dxa"/>
            <w:vAlign w:val="center"/>
          </w:tcPr>
          <w:p>
            <w:pPr>
              <w:jc w:val="center"/>
              <w:rPr>
                <w:sz w:val="24"/>
              </w:rPr>
            </w:pPr>
            <w:r>
              <w:rPr>
                <w:rFonts w:hint="eastAsia"/>
                <w:sz w:val="24"/>
              </w:rPr>
              <w:t>出生年月日</w:t>
            </w:r>
          </w:p>
        </w:tc>
        <w:tc>
          <w:tcPr>
            <w:tcW w:w="1476" w:type="dxa"/>
            <w:tcBorders>
              <w:bottom w:val="single" w:color="auto" w:sz="4" w:space="0"/>
            </w:tcBorders>
            <w:vAlign w:val="center"/>
          </w:tcPr>
          <w:p>
            <w:pPr>
              <w:jc w:val="center"/>
              <w:rPr>
                <w:sz w:val="24"/>
              </w:rPr>
            </w:pPr>
          </w:p>
        </w:tc>
        <w:tc>
          <w:tcPr>
            <w:tcW w:w="1440" w:type="dxa"/>
            <w:gridSpan w:val="2"/>
            <w:tcBorders>
              <w:bottom w:val="single" w:color="auto" w:sz="4" w:space="0"/>
            </w:tcBorders>
            <w:vAlign w:val="center"/>
          </w:tcPr>
          <w:p>
            <w:pPr>
              <w:jc w:val="center"/>
              <w:rPr>
                <w:sz w:val="24"/>
              </w:rPr>
            </w:pPr>
            <w:r>
              <w:rPr>
                <w:rFonts w:hint="eastAsia"/>
                <w:sz w:val="24"/>
              </w:rPr>
              <w:t>性别</w:t>
            </w:r>
          </w:p>
        </w:tc>
        <w:tc>
          <w:tcPr>
            <w:tcW w:w="990" w:type="dxa"/>
            <w:gridSpan w:val="3"/>
            <w:tcBorders>
              <w:bottom w:val="single" w:color="auto" w:sz="4" w:space="0"/>
            </w:tcBorders>
            <w:vAlign w:val="center"/>
          </w:tcPr>
          <w:p>
            <w:pPr>
              <w:jc w:val="center"/>
              <w:rPr>
                <w:sz w:val="24"/>
              </w:rPr>
            </w:pPr>
          </w:p>
        </w:tc>
        <w:tc>
          <w:tcPr>
            <w:tcW w:w="1276" w:type="dxa"/>
            <w:gridSpan w:val="2"/>
            <w:tcBorders>
              <w:bottom w:val="single" w:color="auto" w:sz="4" w:space="0"/>
            </w:tcBorders>
            <w:vAlign w:val="center"/>
          </w:tcPr>
          <w:p>
            <w:pPr>
              <w:rPr>
                <w:rFonts w:hint="eastAsia"/>
                <w:sz w:val="24"/>
              </w:rPr>
            </w:pPr>
            <w:r>
              <w:rPr>
                <w:rFonts w:hint="eastAsia"/>
                <w:sz w:val="24"/>
              </w:rPr>
              <w:t>政治面貌</w:t>
            </w:r>
          </w:p>
        </w:tc>
        <w:tc>
          <w:tcPr>
            <w:tcW w:w="1154" w:type="dxa"/>
            <w:tcBorders>
              <w:bottom w:val="single" w:color="auto" w:sz="4" w:space="0"/>
            </w:tcBorders>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tcBorders>
              <w:right w:val="single" w:color="auto" w:sz="4" w:space="0"/>
            </w:tcBorders>
            <w:vAlign w:val="center"/>
          </w:tcPr>
          <w:p>
            <w:pPr>
              <w:jc w:val="center"/>
              <w:rPr>
                <w:rFonts w:hint="eastAsia"/>
                <w:sz w:val="24"/>
              </w:rPr>
            </w:pPr>
            <w:r>
              <w:rPr>
                <w:rFonts w:hint="eastAsia"/>
                <w:sz w:val="24"/>
              </w:rPr>
              <w:t>E-mail</w:t>
            </w:r>
          </w:p>
          <w:p>
            <w:pPr>
              <w:jc w:val="center"/>
              <w:rPr>
                <w:sz w:val="24"/>
              </w:rPr>
            </w:pPr>
            <w:r>
              <w:rPr>
                <w:rFonts w:hint="eastAsia"/>
                <w:sz w:val="24"/>
              </w:rPr>
              <w:t>或</w:t>
            </w:r>
            <w:r>
              <w:rPr>
                <w:rFonts w:hint="eastAsia" w:ascii="宋体" w:hAnsi="宋体"/>
                <w:sz w:val="24"/>
              </w:rPr>
              <w:t>QQ</w:t>
            </w:r>
            <w:r>
              <w:rPr>
                <w:rFonts w:hint="eastAsia"/>
                <w:sz w:val="24"/>
              </w:rPr>
              <w:t>号</w:t>
            </w:r>
          </w:p>
        </w:tc>
        <w:tc>
          <w:tcPr>
            <w:tcW w:w="3906" w:type="dxa"/>
            <w:gridSpan w:val="6"/>
            <w:tcBorders>
              <w:top w:val="single" w:color="auto" w:sz="4" w:space="0"/>
              <w:left w:val="single" w:color="auto" w:sz="4" w:space="0"/>
              <w:bottom w:val="single" w:color="auto" w:sz="4" w:space="0"/>
            </w:tcBorders>
            <w:vAlign w:val="center"/>
          </w:tcPr>
          <w:p>
            <w:pPr>
              <w:jc w:val="center"/>
              <w:rPr>
                <w:sz w:val="24"/>
              </w:rPr>
            </w:pPr>
          </w:p>
        </w:tc>
        <w:tc>
          <w:tcPr>
            <w:tcW w:w="1276" w:type="dxa"/>
            <w:gridSpan w:val="2"/>
            <w:tcBorders>
              <w:top w:val="single" w:color="auto" w:sz="4" w:space="0"/>
              <w:left w:val="single" w:color="auto" w:sz="4" w:space="0"/>
              <w:bottom w:val="single" w:color="auto" w:sz="4" w:space="0"/>
            </w:tcBorders>
            <w:vAlign w:val="center"/>
          </w:tcPr>
          <w:p>
            <w:pPr>
              <w:jc w:val="center"/>
              <w:rPr>
                <w:sz w:val="24"/>
              </w:rPr>
            </w:pPr>
            <w:r>
              <w:rPr>
                <w:rFonts w:hint="eastAsia"/>
                <w:sz w:val="24"/>
              </w:rPr>
              <w:t>籍    贯</w:t>
            </w:r>
          </w:p>
        </w:tc>
        <w:tc>
          <w:tcPr>
            <w:tcW w:w="1154" w:type="dxa"/>
            <w:tcBorders>
              <w:top w:val="single" w:color="auto" w:sz="4" w:space="0"/>
              <w:left w:val="single" w:color="auto" w:sz="4" w:space="0"/>
              <w:bottom w:val="single" w:color="auto" w:sz="4" w:space="0"/>
            </w:tcBorders>
            <w:vAlign w:val="center"/>
          </w:tcPr>
          <w:p>
            <w:pPr>
              <w:jc w:val="center"/>
              <w:rPr>
                <w:sz w:val="24"/>
              </w:rPr>
            </w:pPr>
          </w:p>
        </w:tc>
        <w:tc>
          <w:tcPr>
            <w:tcW w:w="1627" w:type="dxa"/>
            <w:vMerge w:val="continue"/>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872" w:type="dxa"/>
            <w:vAlign w:val="center"/>
          </w:tcPr>
          <w:p>
            <w:pPr>
              <w:jc w:val="center"/>
              <w:rPr>
                <w:rFonts w:hint="eastAsia"/>
                <w:sz w:val="24"/>
              </w:rPr>
            </w:pPr>
            <w:r>
              <w:rPr>
                <w:rFonts w:hint="eastAsia"/>
                <w:sz w:val="24"/>
              </w:rPr>
              <w:t>工作单位</w:t>
            </w:r>
          </w:p>
        </w:tc>
        <w:tc>
          <w:tcPr>
            <w:tcW w:w="3906" w:type="dxa"/>
            <w:gridSpan w:val="6"/>
            <w:tcBorders>
              <w:top w:val="single" w:color="auto" w:sz="4" w:space="0"/>
            </w:tcBorders>
            <w:vAlign w:val="center"/>
          </w:tcPr>
          <w:p>
            <w:pPr>
              <w:jc w:val="center"/>
              <w:rPr>
                <w:sz w:val="24"/>
              </w:rPr>
            </w:pPr>
          </w:p>
        </w:tc>
        <w:tc>
          <w:tcPr>
            <w:tcW w:w="1276" w:type="dxa"/>
            <w:gridSpan w:val="2"/>
            <w:tcBorders>
              <w:top w:val="single" w:color="auto" w:sz="4" w:space="0"/>
            </w:tcBorders>
            <w:vAlign w:val="center"/>
          </w:tcPr>
          <w:p>
            <w:pPr>
              <w:jc w:val="center"/>
              <w:rPr>
                <w:rFonts w:hint="eastAsia"/>
                <w:sz w:val="24"/>
              </w:rPr>
            </w:pPr>
            <w:r>
              <w:rPr>
                <w:rFonts w:hint="eastAsia"/>
                <w:sz w:val="24"/>
              </w:rPr>
              <w:t>职    务</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1872" w:type="dxa"/>
            <w:vAlign w:val="center"/>
          </w:tcPr>
          <w:p>
            <w:pPr>
              <w:jc w:val="center"/>
              <w:rPr>
                <w:rFonts w:hint="eastAsia"/>
                <w:sz w:val="24"/>
              </w:rPr>
            </w:pPr>
            <w:r>
              <w:rPr>
                <w:rFonts w:hint="eastAsia"/>
                <w:sz w:val="24"/>
              </w:rPr>
              <w:t>手    机</w:t>
            </w:r>
          </w:p>
        </w:tc>
        <w:tc>
          <w:tcPr>
            <w:tcW w:w="3255" w:type="dxa"/>
            <w:gridSpan w:val="5"/>
            <w:tcBorders>
              <w:top w:val="single" w:color="auto" w:sz="4" w:space="0"/>
            </w:tcBorders>
            <w:vAlign w:val="center"/>
          </w:tcPr>
          <w:p>
            <w:pPr>
              <w:jc w:val="center"/>
              <w:rPr>
                <w:rFonts w:hint="eastAsia"/>
                <w:sz w:val="24"/>
              </w:rPr>
            </w:pPr>
          </w:p>
        </w:tc>
        <w:tc>
          <w:tcPr>
            <w:tcW w:w="1927" w:type="dxa"/>
            <w:gridSpan w:val="3"/>
            <w:tcBorders>
              <w:top w:val="single" w:color="auto" w:sz="4" w:space="0"/>
            </w:tcBorders>
            <w:vAlign w:val="center"/>
          </w:tcPr>
          <w:p>
            <w:pPr>
              <w:rPr>
                <w:rFonts w:hint="eastAsia"/>
                <w:sz w:val="24"/>
              </w:rPr>
            </w:pPr>
            <w:r>
              <w:rPr>
                <w:rFonts w:hint="eastAsia"/>
                <w:sz w:val="24"/>
              </w:rPr>
              <w:t>紧急联系电话</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872" w:type="dxa"/>
            <w:vAlign w:val="center"/>
          </w:tcPr>
          <w:p>
            <w:pPr>
              <w:jc w:val="center"/>
              <w:rPr>
                <w:sz w:val="24"/>
              </w:rPr>
            </w:pPr>
            <w:r>
              <w:rPr>
                <w:rFonts w:hint="eastAsia"/>
                <w:sz w:val="24"/>
              </w:rPr>
              <w:t>毕业院校</w:t>
            </w:r>
          </w:p>
        </w:tc>
        <w:tc>
          <w:tcPr>
            <w:tcW w:w="3990" w:type="dxa"/>
            <w:gridSpan w:val="7"/>
            <w:vAlign w:val="center"/>
          </w:tcPr>
          <w:p>
            <w:pPr>
              <w:snapToGrid w:val="0"/>
              <w:ind w:firstLine="600" w:firstLineChars="250"/>
              <w:rPr>
                <w:rFonts w:hint="eastAsia"/>
                <w:sz w:val="24"/>
              </w:rPr>
            </w:pPr>
          </w:p>
        </w:tc>
        <w:tc>
          <w:tcPr>
            <w:tcW w:w="1192" w:type="dxa"/>
            <w:vAlign w:val="center"/>
          </w:tcPr>
          <w:p>
            <w:pPr>
              <w:snapToGrid w:val="0"/>
              <w:rPr>
                <w:rFonts w:hint="eastAsia"/>
                <w:sz w:val="24"/>
              </w:rPr>
            </w:pPr>
            <w:r>
              <w:rPr>
                <w:rFonts w:hint="eastAsia"/>
                <w:sz w:val="24"/>
              </w:rPr>
              <w:t>专    业</w:t>
            </w:r>
          </w:p>
        </w:tc>
        <w:tc>
          <w:tcPr>
            <w:tcW w:w="2781" w:type="dxa"/>
            <w:gridSpan w:val="2"/>
            <w:vAlign w:val="center"/>
          </w:tcPr>
          <w:p>
            <w:pPr>
              <w:snapToGrid w:val="0"/>
              <w:ind w:firstLine="600" w:firstLineChars="25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取得学历时间</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取得学位时间</w:t>
            </w:r>
          </w:p>
        </w:tc>
        <w:tc>
          <w:tcPr>
            <w:tcW w:w="2781" w:type="dxa"/>
            <w:gridSpan w:val="2"/>
            <w:vAlign w:val="center"/>
          </w:tcPr>
          <w:p>
            <w:pPr>
              <w:rPr>
                <w:rFonts w:hint="eastAsia"/>
                <w:sz w:val="24"/>
              </w:rPr>
            </w:pPr>
            <w:r>
              <w:rPr>
                <w:rFonts w:hint="eastAsia"/>
                <w:sz w:val="24"/>
              </w:rPr>
              <w:t xml:space="preserve">学士       年      月   </w:t>
            </w:r>
          </w:p>
          <w:p>
            <w:pPr>
              <w:rPr>
                <w:rFonts w:hint="eastAsia"/>
                <w:sz w:val="24"/>
              </w:rPr>
            </w:pPr>
            <w:r>
              <w:rPr>
                <w:rFonts w:hint="eastAsia"/>
                <w:sz w:val="24"/>
              </w:rPr>
              <w:t>硕士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学历证书编号</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学位证书编号</w:t>
            </w:r>
          </w:p>
        </w:tc>
        <w:tc>
          <w:tcPr>
            <w:tcW w:w="2781"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872" w:type="dxa"/>
            <w:vAlign w:val="center"/>
          </w:tcPr>
          <w:p>
            <w:pPr>
              <w:jc w:val="center"/>
              <w:rPr>
                <w:rFonts w:hint="eastAsia"/>
                <w:sz w:val="24"/>
              </w:rPr>
            </w:pPr>
            <w:r>
              <w:rPr>
                <w:rFonts w:hint="eastAsia"/>
                <w:sz w:val="24"/>
              </w:rPr>
              <w:t>外国语种</w:t>
            </w:r>
          </w:p>
        </w:tc>
        <w:tc>
          <w:tcPr>
            <w:tcW w:w="3198" w:type="dxa"/>
            <w:gridSpan w:val="4"/>
            <w:vAlign w:val="center"/>
          </w:tcPr>
          <w:p>
            <w:pPr>
              <w:jc w:val="center"/>
              <w:rPr>
                <w:rFonts w:hint="eastAsia"/>
                <w:sz w:val="24"/>
              </w:rPr>
            </w:pPr>
          </w:p>
        </w:tc>
        <w:tc>
          <w:tcPr>
            <w:tcW w:w="1984" w:type="dxa"/>
            <w:gridSpan w:val="4"/>
            <w:vAlign w:val="center"/>
          </w:tcPr>
          <w:p>
            <w:pPr>
              <w:ind w:left="-107" w:leftChars="-51"/>
              <w:jc w:val="center"/>
              <w:rPr>
                <w:rFonts w:hint="eastAsia"/>
                <w:sz w:val="24"/>
              </w:rPr>
            </w:pPr>
            <w:r>
              <w:rPr>
                <w:rFonts w:hint="eastAsia"/>
                <w:sz w:val="24"/>
              </w:rPr>
              <w:t>是否申硕</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872" w:type="dxa"/>
            <w:vAlign w:val="center"/>
          </w:tcPr>
          <w:p>
            <w:pPr>
              <w:jc w:val="center"/>
              <w:rPr>
                <w:rFonts w:hint="eastAsia"/>
                <w:sz w:val="24"/>
              </w:rPr>
            </w:pPr>
            <w:r>
              <w:rPr>
                <w:rFonts w:hint="eastAsia"/>
                <w:sz w:val="24"/>
              </w:rPr>
              <w:t>所属院系</w:t>
            </w:r>
          </w:p>
        </w:tc>
        <w:tc>
          <w:tcPr>
            <w:tcW w:w="3198" w:type="dxa"/>
            <w:gridSpan w:val="4"/>
            <w:vAlign w:val="center"/>
          </w:tcPr>
          <w:p>
            <w:pPr>
              <w:ind w:firstLine="960" w:firstLineChars="400"/>
              <w:rPr>
                <w:rFonts w:hint="eastAsia"/>
                <w:sz w:val="24"/>
              </w:rPr>
            </w:pPr>
          </w:p>
        </w:tc>
        <w:tc>
          <w:tcPr>
            <w:tcW w:w="1984" w:type="dxa"/>
            <w:gridSpan w:val="4"/>
            <w:vAlign w:val="center"/>
          </w:tcPr>
          <w:p>
            <w:pPr>
              <w:rPr>
                <w:rFonts w:hint="eastAsia"/>
                <w:sz w:val="24"/>
              </w:rPr>
            </w:pPr>
            <w:r>
              <w:rPr>
                <w:rFonts w:hint="eastAsia"/>
                <w:sz w:val="24"/>
              </w:rPr>
              <w:t>特殊情况备注</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72" w:type="dxa"/>
            <w:vAlign w:val="center"/>
          </w:tcPr>
          <w:p>
            <w:pPr>
              <w:jc w:val="center"/>
              <w:rPr>
                <w:rFonts w:hint="eastAsia"/>
                <w:sz w:val="24"/>
              </w:rPr>
            </w:pPr>
            <w:r>
              <w:rPr>
                <w:rFonts w:hint="eastAsia"/>
                <w:sz w:val="24"/>
              </w:rPr>
              <w:t>发票抬头</w:t>
            </w:r>
          </w:p>
        </w:tc>
        <w:tc>
          <w:tcPr>
            <w:tcW w:w="1476" w:type="dxa"/>
            <w:vAlign w:val="center"/>
          </w:tcPr>
          <w:p>
            <w:pPr>
              <w:jc w:val="center"/>
              <w:rPr>
                <w:rFonts w:hint="eastAsia"/>
                <w:sz w:val="24"/>
              </w:rPr>
            </w:pPr>
            <w:r>
              <w:rPr>
                <w:rFonts w:hint="eastAsia"/>
                <w:sz w:val="24"/>
              </w:rPr>
              <w:t>项目：学费</w:t>
            </w:r>
          </w:p>
        </w:tc>
        <w:tc>
          <w:tcPr>
            <w:tcW w:w="6487" w:type="dxa"/>
            <w:gridSpan w:val="9"/>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3" w:hRule="atLeast"/>
        </w:trPr>
        <w:tc>
          <w:tcPr>
            <w:tcW w:w="9835" w:type="dxa"/>
            <w:gridSpan w:val="11"/>
            <w:vAlign w:val="center"/>
          </w:tcPr>
          <w:p>
            <w:pPr>
              <w:ind w:left="1263" w:leftChars="115" w:hanging="1022" w:hangingChars="424"/>
              <w:rPr>
                <w:rFonts w:hint="eastAsia"/>
                <w:b/>
                <w:sz w:val="24"/>
              </w:rPr>
            </w:pPr>
            <w:r>
              <w:rPr>
                <w:rFonts w:hint="eastAsia"/>
                <w:b/>
                <w:sz w:val="24"/>
              </w:rPr>
              <w:t>学员须知：</w:t>
            </w:r>
          </w:p>
          <w:p>
            <w:pPr>
              <w:ind w:left="-57" w:leftChars="-27" w:firstLine="720" w:firstLineChars="300"/>
              <w:jc w:val="left"/>
              <w:rPr>
                <w:rFonts w:hint="eastAsia"/>
                <w:sz w:val="21"/>
                <w:szCs w:val="21"/>
              </w:rPr>
            </w:pPr>
            <w:r>
              <w:rPr>
                <w:rFonts w:hint="eastAsia"/>
                <w:sz w:val="21"/>
                <w:szCs w:val="21"/>
              </w:rPr>
              <w:t>一、本人承诺交付学校审核的毕业证书、学士学位证书、身份证真实有效，若因证书不真实造成后果，一切责任由本人自负。开学后，学员因故不能坚持进修，视为自动放弃学习，不退学费。</w:t>
            </w:r>
          </w:p>
          <w:p>
            <w:pPr>
              <w:ind w:left="74" w:hanging="24"/>
              <w:rPr>
                <w:rFonts w:hint="eastAsia"/>
                <w:sz w:val="21"/>
                <w:szCs w:val="21"/>
              </w:rPr>
            </w:pPr>
            <w:r>
              <w:rPr>
                <w:rFonts w:hint="eastAsia"/>
                <w:sz w:val="21"/>
                <w:szCs w:val="21"/>
              </w:rPr>
              <w:t xml:space="preserve">     二、取得学士学位满3年，即有资格申请硕士学位考试，取得考试资格证（有效期为4年）并按规定缴纳考试费（考试费是全部课程的考试费不包括两门的国家考试费用）后，方可申请参加学位课考试。</w:t>
            </w:r>
          </w:p>
          <w:p>
            <w:pPr>
              <w:ind w:left="73" w:leftChars="35" w:firstLine="600" w:firstLineChars="250"/>
              <w:rPr>
                <w:rFonts w:hint="eastAsia" w:ascii="宋体" w:hAnsi="宋体"/>
                <w:b/>
                <w:sz w:val="21"/>
                <w:szCs w:val="21"/>
              </w:rPr>
            </w:pPr>
            <w:r>
              <w:rPr>
                <w:rFonts w:hint="eastAsia"/>
                <w:sz w:val="21"/>
                <w:szCs w:val="21"/>
              </w:rPr>
              <w:t>学位课考试包括：① 4门题库课，考试时间是每年10月和4月，②11-14门非题库课考试，时间由学院安排。③国家水平考试：专业综合与外国语，考试时间是每年5月下旬。.</w:t>
            </w:r>
            <w:r>
              <w:rPr>
                <w:rFonts w:hint="eastAsia" w:ascii="宋体" w:hAnsi="宋体"/>
                <w:b/>
                <w:sz w:val="21"/>
                <w:szCs w:val="21"/>
              </w:rPr>
              <w:t xml:space="preserve"> </w:t>
            </w:r>
          </w:p>
          <w:p>
            <w:pPr>
              <w:ind w:left="73" w:leftChars="35" w:firstLine="600" w:firstLineChars="250"/>
              <w:rPr>
                <w:rFonts w:hint="eastAsia"/>
                <w:sz w:val="21"/>
                <w:szCs w:val="21"/>
              </w:rPr>
            </w:pPr>
            <w:r>
              <w:rPr>
                <w:rFonts w:hint="eastAsia"/>
                <w:sz w:val="21"/>
                <w:szCs w:val="21"/>
              </w:rPr>
              <w:t>三、全部考试通过、论文答辩通过，方可取得硕士学位证书。</w:t>
            </w:r>
          </w:p>
          <w:p>
            <w:pPr>
              <w:ind w:left="73" w:leftChars="35" w:firstLine="602" w:firstLineChars="250"/>
              <w:rPr>
                <w:rFonts w:hint="eastAsia"/>
                <w:b/>
                <w:color w:val="FF0000"/>
                <w:sz w:val="24"/>
              </w:rPr>
            </w:pPr>
            <w:r>
              <w:rPr>
                <w:rFonts w:hint="eastAsia"/>
                <w:b/>
                <w:color w:val="FF0000"/>
                <w:sz w:val="21"/>
                <w:szCs w:val="21"/>
              </w:rPr>
              <w:t>备注：未办理考试资格的学员，国考和题库考试不得参加！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872" w:type="dxa"/>
            <w:vAlign w:val="center"/>
          </w:tcPr>
          <w:p>
            <w:pPr>
              <w:jc w:val="center"/>
              <w:rPr>
                <w:rFonts w:hint="eastAsia"/>
                <w:b/>
                <w:sz w:val="24"/>
              </w:rPr>
            </w:pPr>
            <w:r>
              <w:rPr>
                <w:rFonts w:hint="eastAsia"/>
                <w:b/>
                <w:sz w:val="24"/>
              </w:rPr>
              <w:t>收费标准</w:t>
            </w:r>
          </w:p>
        </w:tc>
        <w:tc>
          <w:tcPr>
            <w:tcW w:w="7963" w:type="dxa"/>
            <w:gridSpan w:val="10"/>
            <w:vAlign w:val="center"/>
          </w:tcPr>
          <w:p>
            <w:pPr>
              <w:rPr>
                <w:rFonts w:hint="eastAsia"/>
                <w:sz w:val="24"/>
              </w:rPr>
            </w:pPr>
            <w:r>
              <w:rPr>
                <w:rFonts w:hint="eastAsia"/>
                <w:sz w:val="24"/>
              </w:rPr>
              <w:t>1、进修学费         元，开课前一次性缴清；</w:t>
            </w:r>
          </w:p>
          <w:p>
            <w:pPr>
              <w:rPr>
                <w:rFonts w:hint="eastAsia"/>
                <w:sz w:val="24"/>
              </w:rPr>
            </w:pPr>
            <w:r>
              <w:rPr>
                <w:rFonts w:hint="eastAsia"/>
                <w:sz w:val="24"/>
              </w:rPr>
              <w:t>2、全部课程考试费（含题库考试费）收费标准是：科目数×250元+200元申请费约4000-4700左右；</w:t>
            </w:r>
          </w:p>
          <w:p>
            <w:pPr>
              <w:rPr>
                <w:rFonts w:hint="eastAsia"/>
                <w:sz w:val="24"/>
              </w:rPr>
            </w:pPr>
            <w:r>
              <w:rPr>
                <w:rFonts w:hint="eastAsia"/>
                <w:sz w:val="24"/>
              </w:rPr>
              <w:t>3、论文指导费、答辩费：6500元；</w:t>
            </w:r>
          </w:p>
          <w:p>
            <w:pPr>
              <w:rPr>
                <w:rFonts w:hint="eastAsia"/>
                <w:sz w:val="24"/>
              </w:rPr>
            </w:pPr>
            <w:r>
              <w:rPr>
                <w:rFonts w:hint="eastAsia"/>
                <w:sz w:val="24"/>
              </w:rPr>
              <w:t>4、国家考试费由教育部统一收取，每门100元。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1872" w:type="dxa"/>
            <w:vAlign w:val="center"/>
          </w:tcPr>
          <w:p>
            <w:pPr>
              <w:jc w:val="center"/>
              <w:rPr>
                <w:rFonts w:hint="eastAsia"/>
                <w:b/>
                <w:sz w:val="24"/>
              </w:rPr>
            </w:pPr>
            <w:r>
              <w:rPr>
                <w:rFonts w:hint="eastAsia"/>
                <w:b/>
                <w:sz w:val="24"/>
              </w:rPr>
              <w:t>签字确认</w:t>
            </w:r>
          </w:p>
        </w:tc>
        <w:tc>
          <w:tcPr>
            <w:tcW w:w="7963" w:type="dxa"/>
            <w:gridSpan w:val="10"/>
            <w:vAlign w:val="center"/>
          </w:tcPr>
          <w:p>
            <w:pPr>
              <w:rPr>
                <w:b/>
                <w:sz w:val="24"/>
              </w:rPr>
            </w:pPr>
            <w:r>
              <w:rPr>
                <w:rFonts w:hint="eastAsia"/>
                <w:b/>
                <w:sz w:val="24"/>
              </w:rPr>
              <w:t>请仔细阅读上述内容，并签字确认。</w:t>
            </w:r>
          </w:p>
          <w:p>
            <w:pPr>
              <w:rPr>
                <w:rFonts w:hint="eastAsia"/>
                <w:b/>
                <w:sz w:val="24"/>
              </w:rPr>
            </w:pPr>
            <w:r>
              <w:rPr>
                <w:rFonts w:hint="eastAsia"/>
                <w:b/>
                <w:sz w:val="24"/>
              </w:rPr>
              <w:t xml:space="preserve">                            </w:t>
            </w:r>
          </w:p>
          <w:p>
            <w:pPr>
              <w:ind w:firstLine="4250" w:firstLineChars="1764"/>
              <w:rPr>
                <w:rFonts w:hint="eastAsia"/>
                <w:b/>
                <w:sz w:val="24"/>
              </w:rPr>
            </w:pPr>
            <w:r>
              <w:rPr>
                <w:rFonts w:hint="eastAsia"/>
                <w:b/>
                <w:sz w:val="24"/>
              </w:rPr>
              <w:t xml:space="preserve"> 签名：</w:t>
            </w:r>
          </w:p>
        </w:tc>
      </w:tr>
    </w:tbl>
    <w:p>
      <w:pPr>
        <w:spacing w:before="156" w:beforeLines="50" w:after="156" w:afterLines="50" w:line="400" w:lineRule="exact"/>
        <w:rPr>
          <w:rFonts w:hint="eastAsia" w:ascii="宋体" w:hAnsi="宋体"/>
          <w:sz w:val="24"/>
        </w:rPr>
      </w:pPr>
      <w:r>
        <w:rPr>
          <w:rFonts w:hint="eastAsia" w:ascii="黑体" w:eastAsia="黑体"/>
          <w:b/>
          <w:sz w:val="32"/>
          <w:szCs w:val="32"/>
        </w:rPr>
        <w:t xml:space="preserve">                                   </w:t>
      </w:r>
      <w:r>
        <w:rPr>
          <w:rFonts w:hint="eastAsia" w:ascii="宋体" w:hAnsi="宋体"/>
          <w:sz w:val="24"/>
        </w:rPr>
        <w:t>报名时间：    年   月   日</w:t>
      </w:r>
    </w:p>
    <w:p>
      <w:pPr>
        <w:jc w:val="left"/>
        <w:rPr>
          <w:lang w:val="en-US" w:eastAsia="zh-CN"/>
        </w:rPr>
      </w:pP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61007A87" w:usb1="80000000" w:usb2="00000008"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Arial">
    <w:panose1 w:val="020B0604020202020204"/>
    <w:charset w:val="00"/>
    <w:family w:val="swiss"/>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4B6"/>
    <w:rsid w:val="00312DF6"/>
    <w:rsid w:val="005E03C7"/>
    <w:rsid w:val="00CB14E8"/>
    <w:rsid w:val="00D73648"/>
    <w:rsid w:val="00D82F0B"/>
    <w:rsid w:val="00DF470C"/>
    <w:rsid w:val="00E414B6"/>
    <w:rsid w:val="00FB77BD"/>
    <w:rsid w:val="00FC76EB"/>
    <w:rsid w:val="10B302F9"/>
    <w:rsid w:val="24AD7D3F"/>
    <w:rsid w:val="403E6966"/>
    <w:rsid w:val="68D6485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368</Words>
  <Characters>2100</Characters>
  <Lines>17</Lines>
  <Paragraphs>4</Paragraphs>
  <ScaleCrop>false</ScaleCrop>
  <LinksUpToDate>false</LinksUpToDate>
  <CharactersWithSpaces>2464</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2016-01-07T08:02:00Z</dcterms:created>
  <dc:creator>admin</dc:creator>
  <cp:lastModifiedBy>Administrator</cp:lastModifiedBy>
  <dcterms:modified xsi:type="dcterms:W3CDTF">2017-03-07T06:56:52Z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