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r>
        <w:rPr>
          <w:rFonts w:hint="eastAsia"/>
          <w:b/>
          <w:sz w:val="36"/>
          <w:szCs w:val="36"/>
        </w:rPr>
        <w:t>马克思主义学院中共党史专业（党务政务方向）在职</w:t>
      </w:r>
    </w:p>
    <w:p>
      <w:pPr>
        <w:jc w:val="center"/>
        <w:rPr>
          <w:b/>
          <w:sz w:val="36"/>
          <w:szCs w:val="36"/>
        </w:rPr>
      </w:pPr>
      <w:r>
        <w:rPr>
          <w:rFonts w:hint="eastAsia"/>
          <w:b/>
          <w:sz w:val="36"/>
          <w:szCs w:val="36"/>
        </w:rPr>
        <w:t>研究生课程研修班招生简章</w:t>
      </w:r>
    </w:p>
    <w:p>
      <w:pPr>
        <w:rPr>
          <w:rFonts w:ascii="黑体" w:hAnsi="黑体" w:eastAsia="黑体" w:cs="宋体"/>
          <w:b/>
          <w:bCs/>
          <w:color w:val="444444"/>
          <w:kern w:val="0"/>
          <w:sz w:val="30"/>
          <w:szCs w:val="30"/>
        </w:rPr>
      </w:pP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一、学院及专业优势简介</w:t>
      </w:r>
    </w:p>
    <w:p>
      <w:pPr>
        <w:ind w:firstLine="640" w:firstLineChars="200"/>
        <w:rPr>
          <w:rFonts w:ascii="仿宋" w:hAnsi="仿宋" w:eastAsia="仿宋"/>
          <w:sz w:val="32"/>
          <w:szCs w:val="32"/>
        </w:rPr>
      </w:pPr>
      <w:r>
        <w:rPr>
          <w:rFonts w:hint="eastAsia" w:ascii="仿宋" w:hAnsi="仿宋" w:eastAsia="仿宋"/>
          <w:sz w:val="32"/>
          <w:szCs w:val="32"/>
        </w:rPr>
        <w:t>★中共党史专业为全国唯一的国家级重点二级学科。</w:t>
      </w:r>
    </w:p>
    <w:p>
      <w:pPr>
        <w:ind w:firstLine="640" w:firstLineChars="200"/>
        <w:rPr>
          <w:rFonts w:ascii="仿宋" w:hAnsi="仿宋" w:eastAsia="仿宋"/>
          <w:sz w:val="32"/>
          <w:szCs w:val="32"/>
        </w:rPr>
      </w:pPr>
      <w:r>
        <w:rPr>
          <w:rFonts w:hint="eastAsia" w:ascii="仿宋" w:hAnsi="仿宋" w:eastAsia="仿宋"/>
          <w:sz w:val="32"/>
          <w:szCs w:val="32"/>
        </w:rPr>
        <w:t>★学院建有国内最齐全的马克思主义学科体系，拥有马克思主义理论一级学科，该学科是全国唯一国家级重点一级学科。</w:t>
      </w:r>
    </w:p>
    <w:p>
      <w:pPr>
        <w:ind w:firstLine="640" w:firstLineChars="200"/>
        <w:rPr>
          <w:rFonts w:ascii="仿宋" w:hAnsi="仿宋" w:eastAsia="仿宋"/>
          <w:sz w:val="32"/>
          <w:szCs w:val="32"/>
        </w:rPr>
      </w:pPr>
      <w:r>
        <w:rPr>
          <w:rFonts w:hint="eastAsia" w:ascii="仿宋" w:hAnsi="仿宋" w:eastAsia="仿宋"/>
          <w:sz w:val="32"/>
          <w:szCs w:val="32"/>
        </w:rPr>
        <w:t>★学院师资力量雄厚，有教授23人，副教授18人，讲师17人，博士生导师33人（含兼职博导8人），博士学位获得者50人，政府特殊津贴享有者4人，长江学者特聘教授1人，教育部跨世纪人才培养计划入选者3人，教育部新世纪人才培养计划入选者6人。</w:t>
      </w:r>
    </w:p>
    <w:p>
      <w:pPr>
        <w:ind w:firstLine="640" w:firstLineChars="200"/>
        <w:rPr>
          <w:rFonts w:ascii="仿宋" w:hAnsi="仿宋" w:eastAsia="仿宋"/>
          <w:sz w:val="32"/>
          <w:szCs w:val="32"/>
        </w:rPr>
      </w:pPr>
      <w:r>
        <w:rPr>
          <w:rFonts w:hint="eastAsia" w:ascii="仿宋" w:hAnsi="仿宋" w:eastAsia="仿宋"/>
          <w:sz w:val="32"/>
          <w:szCs w:val="32"/>
        </w:rPr>
        <w:t>党务政务工作作为党政机关日常运行的基础工作，在新时期加强党的领导形势下，日益凸显出其重要地位和作用。为加强对党务政务人才的培养，适应社会经济发展对高层次党务政务人才的需要，中国人民大学马克思主义学院决定在北京举办中共党史专业（党务政务方向）研究生课程进修班。</w:t>
      </w:r>
    </w:p>
    <w:p>
      <w:pPr>
        <w:rPr>
          <w:rFonts w:ascii="仿宋" w:hAnsi="仿宋" w:eastAsia="仿宋" w:cs="Arial"/>
          <w:szCs w:val="21"/>
        </w:rPr>
      </w:pP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二、中共党史专业（党务政务方向）课程安排</w:t>
      </w:r>
    </w:p>
    <w:p>
      <w:pPr>
        <w:ind w:firstLine="634" w:firstLineChars="198"/>
        <w:rPr>
          <w:rFonts w:ascii="黑体" w:hAnsi="黑体" w:eastAsia="黑体" w:cs="宋体"/>
          <w:b/>
          <w:bCs/>
          <w:color w:val="444444"/>
          <w:kern w:val="0"/>
          <w:sz w:val="30"/>
          <w:szCs w:val="30"/>
        </w:rPr>
      </w:pPr>
      <w:r>
        <w:rPr>
          <w:rFonts w:hint="eastAsia" w:ascii="仿宋" w:hAnsi="仿宋" w:eastAsia="仿宋"/>
          <w:sz w:val="32"/>
          <w:szCs w:val="32"/>
        </w:rPr>
        <w:t>根据我校马克思主义学院专业培养方案要求，开设相关课程，包括：政治理论课（按学校规定的课程名称确定）、学科基础课、专业课和选修课。</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426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3"/>
            <w:tcBorders>
              <w:top w:val="single" w:color="auto" w:sz="4" w:space="0"/>
              <w:left w:val="single" w:color="auto" w:sz="4" w:space="0"/>
              <w:bottom w:val="single" w:color="auto" w:sz="4" w:space="0"/>
              <w:right w:val="single" w:color="auto" w:sz="4" w:space="0"/>
            </w:tcBorders>
          </w:tcPr>
          <w:p>
            <w:pPr>
              <w:jc w:val="center"/>
              <w:rPr>
                <w:rFonts w:ascii="仿宋" w:hAnsi="仿宋" w:eastAsia="仿宋" w:cs="Arial"/>
                <w:b/>
                <w:szCs w:val="21"/>
              </w:rPr>
            </w:pPr>
            <w:r>
              <w:rPr>
                <w:rFonts w:hint="eastAsia" w:ascii="仿宋" w:hAnsi="仿宋" w:eastAsia="仿宋" w:cs="Arial"/>
                <w:b/>
                <w:szCs w:val="21"/>
              </w:rPr>
              <w:t>研究方向和领域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3"/>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党务管理、党建理论实践、毛泽东思想生平研究、蒋介石研究、毛泽东战略战术思想研究、周恩来思想生平研究、邓小平思想生平研究、隐蔽战线研究、革命根据地研究、抗日民族统一战线研究、抗日战争研究、延安整风运动研究、解放战争研究、大跃进运动研究、反右运动研究、人民公社化运动研究、“四清”运动研究、知识分子社会主义改造研究、青年上山下乡运动研究、文化大革命研究、改革开放新时期经济政治文化研究、中国政党制度研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3"/>
            <w:tcBorders>
              <w:top w:val="single" w:color="auto" w:sz="4" w:space="0"/>
              <w:left w:val="single" w:color="auto" w:sz="4" w:space="0"/>
              <w:bottom w:val="single" w:color="auto" w:sz="4" w:space="0"/>
              <w:right w:val="single" w:color="auto" w:sz="4" w:space="0"/>
            </w:tcBorders>
          </w:tcPr>
          <w:p>
            <w:pPr>
              <w:jc w:val="center"/>
              <w:rPr>
                <w:rFonts w:ascii="仿宋" w:hAnsi="仿宋" w:eastAsia="仿宋" w:cs="Arial"/>
                <w:b/>
                <w:szCs w:val="21"/>
              </w:rPr>
            </w:pPr>
            <w:r>
              <w:rPr>
                <w:rFonts w:hint="eastAsia" w:ascii="仿宋" w:hAnsi="仿宋" w:eastAsia="仿宋" w:cs="Arial"/>
                <w:b/>
                <w:szCs w:val="21"/>
              </w:rPr>
              <w:t>课程设置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Arial"/>
                <w:b/>
                <w:szCs w:val="21"/>
              </w:rPr>
            </w:pPr>
            <w:r>
              <w:rPr>
                <w:rFonts w:hint="eastAsia" w:ascii="仿宋" w:hAnsi="仿宋" w:eastAsia="仿宋" w:cs="Arial"/>
                <w:b/>
                <w:szCs w:val="21"/>
              </w:rPr>
              <w:t>课程模块</w:t>
            </w:r>
          </w:p>
        </w:tc>
        <w:tc>
          <w:tcPr>
            <w:tcW w:w="4261"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Arial"/>
                <w:b/>
                <w:szCs w:val="21"/>
              </w:rPr>
            </w:pPr>
            <w:r>
              <w:rPr>
                <w:rFonts w:hint="eastAsia" w:ascii="仿宋" w:hAnsi="仿宋" w:eastAsia="仿宋" w:cs="Arial"/>
                <w:b/>
                <w:szCs w:val="21"/>
              </w:rPr>
              <w:t>课程名称</w:t>
            </w:r>
          </w:p>
        </w:tc>
        <w:tc>
          <w:tcPr>
            <w:tcW w:w="2131"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Arial"/>
                <w:b/>
                <w:szCs w:val="21"/>
              </w:rPr>
            </w:pPr>
            <w:r>
              <w:rPr>
                <w:rFonts w:hint="eastAsia" w:ascii="仿宋" w:hAnsi="仿宋" w:eastAsia="仿宋" w:cs="Arial"/>
                <w:b/>
                <w:szCs w:val="21"/>
              </w:rPr>
              <w:t>课程释义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Arial"/>
                <w:b/>
                <w:szCs w:val="21"/>
              </w:rPr>
            </w:pPr>
            <w:r>
              <w:rPr>
                <w:rFonts w:hint="eastAsia" w:ascii="仿宋" w:hAnsi="仿宋" w:eastAsia="仿宋" w:cs="Arial"/>
                <w:b/>
                <w:szCs w:val="21"/>
              </w:rPr>
              <w:t>学科基础课</w:t>
            </w: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党务管理学</w:t>
            </w:r>
          </w:p>
        </w:tc>
        <w:tc>
          <w:tcPr>
            <w:tcW w:w="2131" w:type="dxa"/>
            <w:vMerge w:val="restar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Arial"/>
                <w:szCs w:val="21"/>
              </w:rPr>
            </w:pPr>
            <w:r>
              <w:rPr>
                <w:rFonts w:hint="eastAsia" w:ascii="仿宋" w:hAnsi="仿宋" w:eastAsia="仿宋" w:cs="Arial"/>
                <w:szCs w:val="21"/>
              </w:rPr>
              <w:t>系统讲授中国共产党党历史发展的基本理论、基本脉络、基本常识，阐述中国共产党自身优化建设的历程和经验。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Arial"/>
                <w:b/>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党务政务工作研究</w:t>
            </w:r>
          </w:p>
        </w:tc>
        <w:tc>
          <w:tcPr>
            <w:tcW w:w="2131"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Arial"/>
                <w:b/>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民主革命时期党的建设</w:t>
            </w:r>
          </w:p>
        </w:tc>
        <w:tc>
          <w:tcPr>
            <w:tcW w:w="2131"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Arial"/>
                <w:b/>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社会主义建设时期党的建设</w:t>
            </w:r>
          </w:p>
        </w:tc>
        <w:tc>
          <w:tcPr>
            <w:tcW w:w="2131"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b/>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当代中国政治研究</w:t>
            </w:r>
          </w:p>
        </w:tc>
        <w:tc>
          <w:tcPr>
            <w:tcW w:w="2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b/>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当代中国经济研究</w:t>
            </w:r>
          </w:p>
        </w:tc>
        <w:tc>
          <w:tcPr>
            <w:tcW w:w="2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b/>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中国共产党与当代中国文化发展研究</w:t>
            </w:r>
          </w:p>
        </w:tc>
        <w:tc>
          <w:tcPr>
            <w:tcW w:w="2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trPr>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b/>
                <w:szCs w:val="21"/>
              </w:rPr>
            </w:pPr>
          </w:p>
        </w:tc>
        <w:tc>
          <w:tcPr>
            <w:tcW w:w="4261" w:type="dxa"/>
            <w:tcBorders>
              <w:top w:val="single" w:color="auto" w:sz="4" w:space="0"/>
              <w:left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当代中国政府与政治</w:t>
            </w:r>
          </w:p>
        </w:tc>
        <w:tc>
          <w:tcPr>
            <w:tcW w:w="2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b/>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中国特色社会主义理论与实践研究</w:t>
            </w:r>
          </w:p>
        </w:tc>
        <w:tc>
          <w:tcPr>
            <w:tcW w:w="2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 w:hRule="atLeast"/>
        </w:trPr>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b/>
                <w:szCs w:val="21"/>
              </w:rPr>
            </w:pPr>
          </w:p>
        </w:tc>
        <w:tc>
          <w:tcPr>
            <w:tcW w:w="4261" w:type="dxa"/>
            <w:tcBorders>
              <w:top w:val="single" w:color="auto" w:sz="4" w:space="0"/>
              <w:left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执政党建设研究</w:t>
            </w:r>
          </w:p>
        </w:tc>
        <w:tc>
          <w:tcPr>
            <w:tcW w:w="2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Arial"/>
                <w:szCs w:val="21"/>
              </w:rPr>
            </w:pPr>
            <w:r>
              <w:rPr>
                <w:rFonts w:hint="eastAsia" w:ascii="仿宋" w:hAnsi="仿宋" w:eastAsia="仿宋" w:cs="Arial"/>
                <w:b/>
                <w:szCs w:val="21"/>
              </w:rPr>
              <w:t>专业必修课</w:t>
            </w: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中共党史与当代中国史研究</w:t>
            </w:r>
          </w:p>
        </w:tc>
        <w:tc>
          <w:tcPr>
            <w:tcW w:w="2131" w:type="dxa"/>
            <w:vMerge w:val="restar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Arial"/>
                <w:szCs w:val="21"/>
              </w:rPr>
            </w:pPr>
            <w:r>
              <w:rPr>
                <w:rFonts w:hint="eastAsia" w:ascii="仿宋" w:hAnsi="仿宋" w:eastAsia="仿宋" w:cs="Arial"/>
                <w:szCs w:val="21"/>
              </w:rPr>
              <w:t>阐述中国化的马克思主义理论，了解马克思主义中国化的历史演变。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中国近代政治思想史</w:t>
            </w:r>
          </w:p>
        </w:tc>
        <w:tc>
          <w:tcPr>
            <w:tcW w:w="2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马克思主义中国化的百年流变</w:t>
            </w:r>
          </w:p>
        </w:tc>
        <w:tc>
          <w:tcPr>
            <w:tcW w:w="2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政治学理论与研究方法</w:t>
            </w:r>
          </w:p>
        </w:tc>
        <w:tc>
          <w:tcPr>
            <w:tcW w:w="2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trPr>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c>
          <w:tcPr>
            <w:tcW w:w="4261" w:type="dxa"/>
            <w:tcBorders>
              <w:top w:val="single" w:color="auto" w:sz="4" w:space="0"/>
              <w:left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中国化的马克思主义</w:t>
            </w:r>
          </w:p>
        </w:tc>
        <w:tc>
          <w:tcPr>
            <w:tcW w:w="2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Arial"/>
                <w:b/>
                <w:szCs w:val="21"/>
              </w:rPr>
            </w:pPr>
            <w:r>
              <w:rPr>
                <w:rFonts w:hint="eastAsia" w:ascii="仿宋" w:hAnsi="仿宋" w:eastAsia="仿宋" w:cs="Arial"/>
                <w:b/>
                <w:szCs w:val="21"/>
              </w:rPr>
              <w:t>专业选修课</w:t>
            </w:r>
          </w:p>
          <w:p>
            <w:pPr>
              <w:jc w:val="center"/>
              <w:rPr>
                <w:rFonts w:ascii="仿宋" w:hAnsi="仿宋" w:eastAsia="仿宋" w:cs="Arial"/>
                <w:szCs w:val="21"/>
              </w:rPr>
            </w:pPr>
            <w:r>
              <w:rPr>
                <w:rFonts w:hint="eastAsia" w:ascii="仿宋" w:hAnsi="仿宋" w:eastAsia="仿宋" w:cs="Arial"/>
                <w:b/>
                <w:szCs w:val="21"/>
              </w:rPr>
              <w:t>（专业方向课）</w:t>
            </w: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中共党史与当代中国史研究的理论与方法</w:t>
            </w:r>
          </w:p>
        </w:tc>
        <w:tc>
          <w:tcPr>
            <w:tcW w:w="2131" w:type="dxa"/>
            <w:vMerge w:val="restar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Arial"/>
                <w:szCs w:val="21"/>
              </w:rPr>
            </w:pPr>
            <w:r>
              <w:rPr>
                <w:rFonts w:hint="eastAsia" w:ascii="仿宋" w:hAnsi="仿宋" w:eastAsia="仿宋" w:cs="Arial"/>
                <w:szCs w:val="21"/>
              </w:rPr>
              <w:t>掌握中国共产党历史理论研究的基本方法，提升学生党史素养。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中共党史与当代中国史文献研究</w:t>
            </w:r>
          </w:p>
        </w:tc>
        <w:tc>
          <w:tcPr>
            <w:tcW w:w="2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海外中共党史研究</w:t>
            </w:r>
          </w:p>
        </w:tc>
        <w:tc>
          <w:tcPr>
            <w:tcW w:w="2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c>
          <w:tcPr>
            <w:tcW w:w="4261" w:type="dxa"/>
            <w:tcBorders>
              <w:top w:val="single" w:color="auto" w:sz="4" w:space="0"/>
              <w:left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马克思主义原著选读</w:t>
            </w:r>
          </w:p>
        </w:tc>
        <w:tc>
          <w:tcPr>
            <w:tcW w:w="2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Arial"/>
                <w:b/>
                <w:szCs w:val="21"/>
              </w:rPr>
            </w:pPr>
            <w:r>
              <w:rPr>
                <w:rFonts w:hint="eastAsia" w:ascii="仿宋" w:hAnsi="仿宋" w:eastAsia="仿宋" w:cs="Arial"/>
                <w:b/>
                <w:szCs w:val="21"/>
              </w:rPr>
              <w:t>专业选修</w:t>
            </w:r>
          </w:p>
          <w:p>
            <w:pPr>
              <w:jc w:val="center"/>
              <w:rPr>
                <w:rFonts w:ascii="仿宋" w:hAnsi="仿宋" w:eastAsia="仿宋" w:cs="Arial"/>
                <w:b/>
                <w:szCs w:val="21"/>
              </w:rPr>
            </w:pPr>
            <w:r>
              <w:rPr>
                <w:rFonts w:hint="eastAsia" w:ascii="仿宋" w:hAnsi="仿宋" w:eastAsia="仿宋" w:cs="Arial"/>
                <w:b/>
                <w:szCs w:val="21"/>
              </w:rPr>
              <w:t>（拓展课）</w:t>
            </w: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中国共产党成历史</w:t>
            </w:r>
          </w:p>
        </w:tc>
        <w:tc>
          <w:tcPr>
            <w:tcW w:w="2131" w:type="dxa"/>
            <w:vMerge w:val="restart"/>
            <w:tcBorders>
              <w:top w:val="single" w:color="auto" w:sz="4" w:space="0"/>
              <w:left w:val="single" w:color="auto" w:sz="4" w:space="0"/>
              <w:right w:val="single" w:color="auto" w:sz="4" w:space="0"/>
            </w:tcBorders>
            <w:vAlign w:val="center"/>
          </w:tcPr>
          <w:p>
            <w:pPr>
              <w:rPr>
                <w:rFonts w:ascii="仿宋" w:hAnsi="仿宋" w:eastAsia="仿宋" w:cs="Arial"/>
                <w:szCs w:val="21"/>
              </w:rPr>
            </w:pPr>
            <w:r>
              <w:rPr>
                <w:rFonts w:hint="eastAsia" w:ascii="仿宋" w:hAnsi="仿宋" w:eastAsia="仿宋" w:cs="Arial"/>
                <w:szCs w:val="21"/>
              </w:rPr>
              <w:t>通过中国共产党历史发展过程中重大历史阶段事件的学习，全面掌握党史理论知识，提升学生理论水平。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Borders>
              <w:left w:val="single" w:color="auto" w:sz="4" w:space="0"/>
              <w:right w:val="single" w:color="auto" w:sz="4" w:space="0"/>
            </w:tcBorders>
            <w:vAlign w:val="center"/>
          </w:tcPr>
          <w:p>
            <w:pPr>
              <w:widowControl/>
              <w:jc w:val="left"/>
              <w:rPr>
                <w:rFonts w:ascii="仿宋" w:hAnsi="仿宋" w:eastAsia="仿宋" w:cs="Arial"/>
                <w:b/>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农村包围城市道路的开辟</w:t>
            </w:r>
          </w:p>
        </w:tc>
        <w:tc>
          <w:tcPr>
            <w:tcW w:w="2131" w:type="dxa"/>
            <w:vMerge w:val="continue"/>
            <w:tcBorders>
              <w:left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Borders>
              <w:left w:val="single" w:color="auto" w:sz="4" w:space="0"/>
              <w:right w:val="single" w:color="auto" w:sz="4" w:space="0"/>
            </w:tcBorders>
            <w:vAlign w:val="center"/>
          </w:tcPr>
          <w:p>
            <w:pPr>
              <w:widowControl/>
              <w:jc w:val="left"/>
              <w:rPr>
                <w:rFonts w:ascii="仿宋" w:hAnsi="仿宋" w:eastAsia="仿宋" w:cs="Arial"/>
                <w:b/>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“左”倾错误的危害</w:t>
            </w:r>
          </w:p>
        </w:tc>
        <w:tc>
          <w:tcPr>
            <w:tcW w:w="2131" w:type="dxa"/>
            <w:vMerge w:val="continue"/>
            <w:tcBorders>
              <w:left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Borders>
              <w:left w:val="single" w:color="auto" w:sz="4" w:space="0"/>
              <w:right w:val="single" w:color="auto" w:sz="4" w:space="0"/>
            </w:tcBorders>
            <w:vAlign w:val="center"/>
          </w:tcPr>
          <w:p>
            <w:pPr>
              <w:widowControl/>
              <w:jc w:val="left"/>
              <w:rPr>
                <w:rFonts w:ascii="仿宋" w:hAnsi="仿宋" w:eastAsia="仿宋" w:cs="Arial"/>
                <w:b/>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抗日民族统一战线的形成</w:t>
            </w:r>
          </w:p>
        </w:tc>
        <w:tc>
          <w:tcPr>
            <w:tcW w:w="2131" w:type="dxa"/>
            <w:vMerge w:val="continue"/>
            <w:tcBorders>
              <w:left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Borders>
              <w:left w:val="single" w:color="auto" w:sz="4" w:space="0"/>
              <w:right w:val="single" w:color="auto" w:sz="4" w:space="0"/>
            </w:tcBorders>
            <w:vAlign w:val="center"/>
          </w:tcPr>
          <w:p>
            <w:pPr>
              <w:widowControl/>
              <w:jc w:val="left"/>
              <w:rPr>
                <w:rFonts w:ascii="仿宋" w:hAnsi="仿宋" w:eastAsia="仿宋" w:cs="Arial"/>
                <w:b/>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全面抗战路线与敌后抗战</w:t>
            </w:r>
          </w:p>
        </w:tc>
        <w:tc>
          <w:tcPr>
            <w:tcW w:w="2131" w:type="dxa"/>
            <w:vMerge w:val="continue"/>
            <w:tcBorders>
              <w:left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Borders>
              <w:left w:val="single" w:color="auto" w:sz="4" w:space="0"/>
              <w:right w:val="single" w:color="auto" w:sz="4" w:space="0"/>
            </w:tcBorders>
            <w:vAlign w:val="center"/>
          </w:tcPr>
          <w:p>
            <w:pPr>
              <w:widowControl/>
              <w:jc w:val="left"/>
              <w:rPr>
                <w:rFonts w:ascii="仿宋" w:hAnsi="仿宋" w:eastAsia="仿宋" w:cs="Arial"/>
                <w:b/>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抗日根据地的建设</w:t>
            </w:r>
          </w:p>
        </w:tc>
        <w:tc>
          <w:tcPr>
            <w:tcW w:w="2131" w:type="dxa"/>
            <w:vMerge w:val="continue"/>
            <w:tcBorders>
              <w:left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Borders>
              <w:left w:val="single" w:color="auto" w:sz="4" w:space="0"/>
              <w:right w:val="single" w:color="auto" w:sz="4" w:space="0"/>
            </w:tcBorders>
            <w:vAlign w:val="center"/>
          </w:tcPr>
          <w:p>
            <w:pPr>
              <w:widowControl/>
              <w:jc w:val="left"/>
              <w:rPr>
                <w:rFonts w:ascii="仿宋" w:hAnsi="仿宋" w:eastAsia="仿宋" w:cs="Arial"/>
                <w:b/>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延安整风与七大</w:t>
            </w:r>
          </w:p>
        </w:tc>
        <w:tc>
          <w:tcPr>
            <w:tcW w:w="2131" w:type="dxa"/>
            <w:vMerge w:val="continue"/>
            <w:tcBorders>
              <w:left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Borders>
              <w:left w:val="single" w:color="auto" w:sz="4" w:space="0"/>
              <w:right w:val="single" w:color="auto" w:sz="4" w:space="0"/>
            </w:tcBorders>
            <w:vAlign w:val="center"/>
          </w:tcPr>
          <w:p>
            <w:pPr>
              <w:widowControl/>
              <w:jc w:val="left"/>
              <w:rPr>
                <w:rFonts w:ascii="仿宋" w:hAnsi="仿宋" w:eastAsia="仿宋" w:cs="Arial"/>
                <w:b/>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从战略防御到战略进攻</w:t>
            </w:r>
          </w:p>
        </w:tc>
        <w:tc>
          <w:tcPr>
            <w:tcW w:w="2131" w:type="dxa"/>
            <w:vMerge w:val="continue"/>
            <w:tcBorders>
              <w:left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Borders>
              <w:left w:val="single" w:color="auto" w:sz="4" w:space="0"/>
              <w:right w:val="single" w:color="auto" w:sz="4" w:space="0"/>
            </w:tcBorders>
            <w:vAlign w:val="center"/>
          </w:tcPr>
          <w:p>
            <w:pPr>
              <w:widowControl/>
              <w:jc w:val="left"/>
              <w:rPr>
                <w:rFonts w:ascii="仿宋" w:hAnsi="仿宋" w:eastAsia="仿宋" w:cs="Arial"/>
                <w:b/>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反右派与大跃进运动</w:t>
            </w:r>
          </w:p>
        </w:tc>
        <w:tc>
          <w:tcPr>
            <w:tcW w:w="2131" w:type="dxa"/>
            <w:vMerge w:val="continue"/>
            <w:tcBorders>
              <w:left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Borders>
              <w:left w:val="single" w:color="auto" w:sz="4" w:space="0"/>
              <w:right w:val="single" w:color="auto" w:sz="4" w:space="0"/>
            </w:tcBorders>
            <w:vAlign w:val="center"/>
          </w:tcPr>
          <w:p>
            <w:pPr>
              <w:widowControl/>
              <w:jc w:val="left"/>
              <w:rPr>
                <w:rFonts w:ascii="仿宋" w:hAnsi="仿宋" w:eastAsia="仿宋" w:cs="Arial"/>
                <w:b/>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人民公社化运动</w:t>
            </w:r>
          </w:p>
        </w:tc>
        <w:tc>
          <w:tcPr>
            <w:tcW w:w="2131" w:type="dxa"/>
            <w:vMerge w:val="continue"/>
            <w:tcBorders>
              <w:left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Borders>
              <w:left w:val="single" w:color="auto" w:sz="4" w:space="0"/>
              <w:right w:val="single" w:color="auto" w:sz="4" w:space="0"/>
            </w:tcBorders>
            <w:vAlign w:val="center"/>
          </w:tcPr>
          <w:p>
            <w:pPr>
              <w:widowControl/>
              <w:jc w:val="left"/>
              <w:rPr>
                <w:rFonts w:ascii="仿宋" w:hAnsi="仿宋" w:eastAsia="仿宋" w:cs="Arial"/>
                <w:b/>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“文革”中的群众造反运动和夺权斗争</w:t>
            </w:r>
          </w:p>
        </w:tc>
        <w:tc>
          <w:tcPr>
            <w:tcW w:w="2131" w:type="dxa"/>
            <w:vMerge w:val="continue"/>
            <w:tcBorders>
              <w:left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Arial"/>
                <w:b/>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后“文革”时代的政治经济文化</w:t>
            </w:r>
          </w:p>
        </w:tc>
        <w:tc>
          <w:tcPr>
            <w:tcW w:w="2131"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r>
    </w:tbl>
    <w:p>
      <w:pPr>
        <w:rPr>
          <w:b/>
        </w:rPr>
      </w:pPr>
      <w:r>
        <w:rPr>
          <w:rFonts w:hint="eastAsia"/>
          <w:b/>
        </w:rPr>
        <w:t>注：</w:t>
      </w:r>
      <w:r>
        <w:rPr>
          <w:rFonts w:hint="eastAsia"/>
          <w:b/>
          <w:color w:val="000000"/>
          <w:szCs w:val="21"/>
          <w:shd w:val="clear" w:color="auto" w:fill="FFFFFF"/>
        </w:rPr>
        <w:t>课程设置按当年最新培养方案及教学计划为准。</w:t>
      </w:r>
    </w:p>
    <w:p>
      <w:pPr>
        <w:rPr>
          <w:rFonts w:ascii="仿宋" w:hAnsi="仿宋" w:eastAsia="仿宋" w:cs="Arial"/>
          <w:szCs w:val="21"/>
        </w:rPr>
      </w:pP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（三）名师简介</w:t>
      </w:r>
    </w:p>
    <w:tbl>
      <w:tblPr>
        <w:tblStyle w:val="6"/>
        <w:tblpPr w:leftFromText="180" w:rightFromText="180" w:vertAnchor="text" w:tblpXSpec="center" w:tblpY="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7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微软雅黑"/>
                <w:b/>
                <w:szCs w:val="21"/>
              </w:rPr>
            </w:pPr>
            <w:r>
              <w:rPr>
                <w:rFonts w:hint="eastAsia" w:ascii="仿宋" w:hAnsi="仿宋" w:eastAsia="仿宋" w:cs="微软雅黑"/>
                <w:b/>
                <w:szCs w:val="21"/>
              </w:rPr>
              <w:t>授课老师</w:t>
            </w:r>
          </w:p>
        </w:tc>
        <w:tc>
          <w:tcPr>
            <w:tcW w:w="7138"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微软雅黑"/>
                <w:b/>
                <w:szCs w:val="21"/>
              </w:rPr>
            </w:pPr>
            <w:r>
              <w:rPr>
                <w:rFonts w:hint="eastAsia" w:ascii="仿宋" w:hAnsi="仿宋" w:eastAsia="仿宋" w:cs="微软雅黑"/>
                <w:b/>
                <w:szCs w:val="21"/>
              </w:rPr>
              <w:t>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微软雅黑"/>
                <w:szCs w:val="21"/>
              </w:rPr>
            </w:pPr>
            <w:r>
              <w:rPr>
                <w:rFonts w:hint="eastAsia" w:ascii="仿宋" w:hAnsi="仿宋" w:eastAsia="仿宋" w:cs="微软雅黑"/>
                <w:szCs w:val="21"/>
              </w:rPr>
              <w:t>欧阳淞</w:t>
            </w:r>
          </w:p>
        </w:tc>
        <w:tc>
          <w:tcPr>
            <w:tcW w:w="7138" w:type="dxa"/>
            <w:tcBorders>
              <w:top w:val="single" w:color="auto" w:sz="4" w:space="0"/>
              <w:left w:val="single" w:color="auto" w:sz="4" w:space="0"/>
              <w:bottom w:val="single" w:color="auto" w:sz="4" w:space="0"/>
              <w:right w:val="single" w:color="auto" w:sz="4" w:space="0"/>
            </w:tcBorders>
          </w:tcPr>
          <w:p>
            <w:pPr>
              <w:adjustRightInd w:val="0"/>
              <w:snapToGrid w:val="0"/>
              <w:spacing w:line="380" w:lineRule="exact"/>
              <w:rPr>
                <w:rFonts w:ascii="仿宋" w:hAnsi="仿宋" w:eastAsia="仿宋" w:cs="微软雅黑"/>
                <w:szCs w:val="21"/>
              </w:rPr>
            </w:pPr>
            <w:r>
              <w:rPr>
                <w:rFonts w:hint="eastAsia" w:ascii="仿宋" w:hAnsi="仿宋" w:eastAsia="仿宋" w:cs="微软雅黑"/>
                <w:szCs w:val="21"/>
              </w:rPr>
              <w:t>原中共中央党史研究室主任、中国中共党史学会会长、中国人民大学马克思主义学院兼职教授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微软雅黑"/>
                <w:szCs w:val="21"/>
              </w:rPr>
            </w:pPr>
            <w:r>
              <w:rPr>
                <w:rFonts w:hint="eastAsia" w:ascii="仿宋" w:hAnsi="仿宋" w:eastAsia="仿宋" w:cs="微软雅黑"/>
                <w:szCs w:val="21"/>
              </w:rPr>
              <w:t>李  捷</w:t>
            </w:r>
          </w:p>
        </w:tc>
        <w:tc>
          <w:tcPr>
            <w:tcW w:w="7138" w:type="dxa"/>
            <w:tcBorders>
              <w:top w:val="single" w:color="auto" w:sz="4" w:space="0"/>
              <w:left w:val="single" w:color="auto" w:sz="4" w:space="0"/>
              <w:bottom w:val="single" w:color="auto" w:sz="4" w:space="0"/>
              <w:right w:val="single" w:color="auto" w:sz="4" w:space="0"/>
            </w:tcBorders>
          </w:tcPr>
          <w:p>
            <w:pPr>
              <w:adjustRightInd w:val="0"/>
              <w:snapToGrid w:val="0"/>
              <w:spacing w:line="380" w:lineRule="exact"/>
              <w:rPr>
                <w:rFonts w:ascii="仿宋" w:hAnsi="仿宋" w:eastAsia="仿宋" w:cs="微软雅黑"/>
                <w:szCs w:val="21"/>
              </w:rPr>
            </w:pPr>
            <w:r>
              <w:rPr>
                <w:rFonts w:hint="eastAsia" w:ascii="仿宋" w:hAnsi="仿宋" w:eastAsia="仿宋" w:cs="微软雅黑"/>
                <w:szCs w:val="21"/>
              </w:rPr>
              <w:t>求是杂志社社长、中国人民大学马克思主义学院兼职教授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微软雅黑"/>
                <w:szCs w:val="21"/>
              </w:rPr>
            </w:pPr>
            <w:r>
              <w:rPr>
                <w:rFonts w:hint="eastAsia" w:ascii="仿宋" w:hAnsi="仿宋" w:eastAsia="仿宋" w:cs="微软雅黑"/>
                <w:szCs w:val="21"/>
              </w:rPr>
              <w:t>张树军</w:t>
            </w:r>
          </w:p>
        </w:tc>
        <w:tc>
          <w:tcPr>
            <w:tcW w:w="7138" w:type="dxa"/>
            <w:tcBorders>
              <w:top w:val="single" w:color="auto" w:sz="4" w:space="0"/>
              <w:left w:val="single" w:color="auto" w:sz="4" w:space="0"/>
              <w:bottom w:val="single" w:color="auto" w:sz="4" w:space="0"/>
              <w:right w:val="single" w:color="auto" w:sz="4" w:space="0"/>
            </w:tcBorders>
          </w:tcPr>
          <w:p>
            <w:pPr>
              <w:adjustRightInd w:val="0"/>
              <w:snapToGrid w:val="0"/>
              <w:spacing w:line="380" w:lineRule="exact"/>
              <w:rPr>
                <w:rFonts w:ascii="仿宋" w:hAnsi="仿宋" w:eastAsia="仿宋" w:cs="微软雅黑"/>
                <w:szCs w:val="21"/>
              </w:rPr>
            </w:pPr>
            <w:r>
              <w:rPr>
                <w:rFonts w:hint="eastAsia" w:ascii="仿宋" w:hAnsi="仿宋" w:eastAsia="仿宋" w:cs="微软雅黑"/>
                <w:szCs w:val="21"/>
              </w:rPr>
              <w:t>中共中央党史研究室副主任、中国人民大学马克思主义学院兼职教授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微软雅黑"/>
                <w:szCs w:val="21"/>
              </w:rPr>
            </w:pPr>
            <w:r>
              <w:rPr>
                <w:rFonts w:hint="eastAsia" w:ascii="仿宋" w:hAnsi="仿宋" w:eastAsia="仿宋" w:cs="微软雅黑"/>
                <w:szCs w:val="21"/>
              </w:rPr>
              <w:t>杨凤城</w:t>
            </w:r>
          </w:p>
        </w:tc>
        <w:tc>
          <w:tcPr>
            <w:tcW w:w="7138" w:type="dxa"/>
            <w:tcBorders>
              <w:top w:val="single" w:color="auto" w:sz="4" w:space="0"/>
              <w:left w:val="single" w:color="auto" w:sz="4" w:space="0"/>
              <w:bottom w:val="single" w:color="auto" w:sz="4" w:space="0"/>
              <w:right w:val="single" w:color="auto" w:sz="4" w:space="0"/>
            </w:tcBorders>
          </w:tcPr>
          <w:p>
            <w:pPr>
              <w:adjustRightInd w:val="0"/>
              <w:snapToGrid w:val="0"/>
              <w:spacing w:line="380" w:lineRule="exact"/>
              <w:rPr>
                <w:rFonts w:ascii="仿宋" w:hAnsi="仿宋" w:eastAsia="仿宋" w:cs="微软雅黑"/>
                <w:szCs w:val="21"/>
              </w:rPr>
            </w:pPr>
            <w:r>
              <w:rPr>
                <w:rFonts w:hint="eastAsia" w:ascii="仿宋" w:hAnsi="仿宋" w:eastAsia="仿宋" w:cs="微软雅黑"/>
                <w:szCs w:val="21"/>
              </w:rPr>
              <w:t>中共中央政治局集体学习授课导师、马克思主义学院党委书记、副院长、中共党史系主任、教授、博士生导师、中国中共党史学会常务理事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微软雅黑"/>
                <w:szCs w:val="21"/>
              </w:rPr>
            </w:pPr>
            <w:r>
              <w:rPr>
                <w:rFonts w:hint="eastAsia" w:ascii="仿宋" w:hAnsi="仿宋" w:eastAsia="仿宋" w:cs="微软雅黑"/>
                <w:szCs w:val="21"/>
              </w:rPr>
              <w:t>杨德山</w:t>
            </w:r>
          </w:p>
        </w:tc>
        <w:tc>
          <w:tcPr>
            <w:tcW w:w="7138" w:type="dxa"/>
            <w:tcBorders>
              <w:top w:val="single" w:color="auto" w:sz="4" w:space="0"/>
              <w:left w:val="single" w:color="auto" w:sz="4" w:space="0"/>
              <w:bottom w:val="single" w:color="auto" w:sz="4" w:space="0"/>
              <w:right w:val="single" w:color="auto" w:sz="4" w:space="0"/>
            </w:tcBorders>
          </w:tcPr>
          <w:p>
            <w:pPr>
              <w:adjustRightInd w:val="0"/>
              <w:snapToGrid w:val="0"/>
              <w:spacing w:line="380" w:lineRule="exact"/>
              <w:rPr>
                <w:rFonts w:ascii="仿宋" w:hAnsi="仿宋" w:eastAsia="仿宋" w:cs="微软雅黑"/>
                <w:szCs w:val="21"/>
              </w:rPr>
            </w:pPr>
            <w:r>
              <w:rPr>
                <w:rFonts w:hint="eastAsia" w:ascii="仿宋" w:hAnsi="仿宋" w:eastAsia="仿宋" w:cs="微软雅黑"/>
                <w:szCs w:val="21"/>
              </w:rPr>
              <w:t>马克思主义学院教授、博士生导师。研究方向：中国近代政党理论、中国共产党学说、当代中国政治理论等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138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微软雅黑"/>
                <w:szCs w:val="21"/>
              </w:rPr>
            </w:pPr>
            <w:r>
              <w:rPr>
                <w:rFonts w:hint="eastAsia" w:ascii="仿宋" w:hAnsi="仿宋" w:eastAsia="仿宋" w:cs="微软雅黑"/>
                <w:szCs w:val="21"/>
              </w:rPr>
              <w:t>何虎生</w:t>
            </w:r>
          </w:p>
        </w:tc>
        <w:tc>
          <w:tcPr>
            <w:tcW w:w="7138" w:type="dxa"/>
            <w:tcBorders>
              <w:top w:val="single" w:color="auto" w:sz="4" w:space="0"/>
              <w:left w:val="single" w:color="auto" w:sz="4" w:space="0"/>
              <w:bottom w:val="single" w:color="auto" w:sz="4" w:space="0"/>
              <w:right w:val="single" w:color="auto" w:sz="4" w:space="0"/>
            </w:tcBorders>
          </w:tcPr>
          <w:p>
            <w:pPr>
              <w:adjustRightInd w:val="0"/>
              <w:snapToGrid w:val="0"/>
              <w:spacing w:line="380" w:lineRule="exact"/>
              <w:rPr>
                <w:rFonts w:ascii="仿宋" w:hAnsi="仿宋" w:eastAsia="仿宋" w:cs="微软雅黑"/>
                <w:szCs w:val="21"/>
              </w:rPr>
            </w:pPr>
            <w:r>
              <w:rPr>
                <w:rFonts w:hint="eastAsia" w:ascii="仿宋" w:hAnsi="仿宋" w:eastAsia="仿宋" w:cs="微软雅黑"/>
                <w:szCs w:val="21"/>
              </w:rPr>
              <w:t>马克思主义学院教授、博士生导师。研究方向：中国近现代人物研究、解放战争史、民国初年政党史研究、当代中国民族宗教问题研究等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138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微软雅黑"/>
                <w:szCs w:val="21"/>
              </w:rPr>
            </w:pPr>
            <w:r>
              <w:rPr>
                <w:rFonts w:hint="eastAsia" w:ascii="仿宋" w:hAnsi="仿宋" w:eastAsia="仿宋" w:cs="微软雅黑"/>
                <w:szCs w:val="21"/>
              </w:rPr>
              <w:t>吴美华</w:t>
            </w:r>
          </w:p>
        </w:tc>
        <w:tc>
          <w:tcPr>
            <w:tcW w:w="7138" w:type="dxa"/>
            <w:tcBorders>
              <w:top w:val="single" w:color="auto" w:sz="4" w:space="0"/>
              <w:left w:val="single" w:color="auto" w:sz="4" w:space="0"/>
              <w:bottom w:val="single" w:color="auto" w:sz="4" w:space="0"/>
              <w:right w:val="single" w:color="auto" w:sz="4" w:space="0"/>
            </w:tcBorders>
          </w:tcPr>
          <w:p>
            <w:pPr>
              <w:adjustRightInd w:val="0"/>
              <w:snapToGrid w:val="0"/>
              <w:spacing w:line="380" w:lineRule="exact"/>
              <w:rPr>
                <w:rFonts w:ascii="仿宋" w:hAnsi="仿宋" w:eastAsia="仿宋" w:cs="微软雅黑"/>
                <w:szCs w:val="21"/>
              </w:rPr>
            </w:pPr>
            <w:r>
              <w:rPr>
                <w:rFonts w:hint="eastAsia" w:ascii="仿宋" w:hAnsi="仿宋" w:eastAsia="仿宋" w:cs="微软雅黑"/>
                <w:szCs w:val="21"/>
              </w:rPr>
              <w:t>马克思主义学院教授、博士生导师。研究方向：党的学说和党的建设、党务管理学、当代中国政党和中国政治、当代中国的多党合作制度研究等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 w:hRule="atLeast"/>
        </w:trPr>
        <w:tc>
          <w:tcPr>
            <w:tcW w:w="852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仿宋" w:hAnsi="仿宋" w:eastAsia="仿宋" w:cs="微软雅黑"/>
                <w:szCs w:val="21"/>
              </w:rPr>
            </w:pPr>
            <w:r>
              <w:rPr>
                <w:rFonts w:hint="eastAsia" w:ascii="仿宋" w:hAnsi="仿宋" w:eastAsia="仿宋" w:cs="微软雅黑"/>
                <w:szCs w:val="21"/>
              </w:rPr>
              <w:t>……</w:t>
            </w:r>
          </w:p>
        </w:tc>
      </w:tr>
    </w:tbl>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四、教学办法</w:t>
      </w:r>
    </w:p>
    <w:p>
      <w:pPr>
        <w:ind w:firstLine="420" w:firstLineChars="200"/>
      </w:pPr>
      <w:r>
        <w:rPr>
          <w:rFonts w:hint="eastAsia"/>
        </w:rPr>
        <w:t>　</w:t>
      </w:r>
      <w:r>
        <w:rPr>
          <w:rFonts w:hint="eastAsia" w:ascii="仿宋" w:hAnsi="仿宋" w:eastAsia="仿宋"/>
          <w:sz w:val="32"/>
          <w:szCs w:val="32"/>
        </w:rPr>
        <w:t>学习期间采取理论与实践相结合、课堂讲授与自学相结合的方式。面授时间为隔周周末，每门课程讲授约24个学时。</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五、学制</w:t>
      </w:r>
    </w:p>
    <w:p>
      <w:pPr>
        <w:ind w:firstLine="640" w:firstLineChars="200"/>
        <w:rPr>
          <w:rFonts w:ascii="仿宋" w:hAnsi="仿宋" w:eastAsia="仿宋"/>
          <w:sz w:val="32"/>
          <w:szCs w:val="32"/>
        </w:rPr>
      </w:pPr>
      <w:r>
        <w:rPr>
          <w:rFonts w:hint="eastAsia" w:ascii="仿宋" w:hAnsi="仿宋" w:eastAsia="仿宋"/>
          <w:sz w:val="32"/>
          <w:szCs w:val="32"/>
        </w:rPr>
        <w:t>2年</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六、联系方式</w:t>
      </w:r>
    </w:p>
    <w:p>
      <w:pPr>
        <w:rPr>
          <w:rFonts w:hint="eastAsia" w:ascii="仿宋" w:hAnsi="仿宋" w:eastAsia="仿宋"/>
          <w:sz w:val="32"/>
          <w:szCs w:val="32"/>
        </w:rPr>
      </w:pPr>
      <w:r>
        <w:rPr>
          <w:rFonts w:hint="eastAsia" w:ascii="仿宋" w:hAnsi="仿宋" w:eastAsia="仿宋"/>
          <w:sz w:val="32"/>
          <w:szCs w:val="32"/>
        </w:rPr>
        <w:t>课程咨询：王老师、陈老师</w:t>
      </w:r>
      <w:bookmarkStart w:id="0" w:name="_GoBack"/>
      <w:bookmarkEnd w:id="0"/>
    </w:p>
    <w:p>
      <w:pPr>
        <w:rPr>
          <w:rFonts w:hint="eastAsia" w:ascii="仿宋" w:hAnsi="仿宋" w:eastAsia="仿宋"/>
          <w:sz w:val="32"/>
          <w:szCs w:val="32"/>
        </w:rPr>
      </w:pPr>
      <w:r>
        <w:rPr>
          <w:rFonts w:hint="eastAsia" w:ascii="仿宋" w:hAnsi="仿宋" w:eastAsia="仿宋"/>
          <w:sz w:val="32"/>
          <w:szCs w:val="32"/>
        </w:rPr>
        <w:t>电话： 010-59480917</w:t>
      </w:r>
    </w:p>
    <w:p>
      <w:pPr>
        <w:rPr>
          <w:rFonts w:ascii="仿宋" w:hAnsi="仿宋" w:eastAsia="仿宋"/>
          <w:sz w:val="32"/>
          <w:szCs w:val="32"/>
        </w:rPr>
      </w:pPr>
      <w:r>
        <w:rPr>
          <w:rFonts w:hint="eastAsia" w:ascii="仿宋" w:hAnsi="仿宋" w:eastAsia="仿宋"/>
          <w:sz w:val="32"/>
          <w:szCs w:val="32"/>
        </w:rPr>
        <w:t>报名地址：中国人民大学明德新闻楼0506室</w:t>
      </w:r>
    </w:p>
    <w:p>
      <w:pPr>
        <w:rPr>
          <w:rFonts w:ascii="仿宋" w:hAnsi="仿宋" w:eastAsia="仿宋"/>
          <w:sz w:val="32"/>
          <w:szCs w:val="32"/>
        </w:rPr>
      </w:pPr>
      <w:r>
        <w:rPr>
          <w:rFonts w:hint="eastAsia" w:ascii="仿宋" w:hAnsi="仿宋" w:eastAsia="仿宋"/>
          <w:sz w:val="32"/>
          <w:szCs w:val="32"/>
        </w:rPr>
        <w:t>报名时间：周一至周日(9：00——17：30)</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七、报名条件</w:t>
      </w:r>
    </w:p>
    <w:p>
      <w:pPr>
        <w:rPr>
          <w:rFonts w:ascii="仿宋" w:hAnsi="仿宋" w:eastAsia="仿宋"/>
          <w:sz w:val="32"/>
          <w:szCs w:val="32"/>
        </w:rPr>
      </w:pPr>
      <w:r>
        <w:rPr>
          <w:rFonts w:hint="eastAsia" w:ascii="仿宋" w:hAnsi="仿宋" w:eastAsia="仿宋"/>
          <w:sz w:val="32"/>
          <w:szCs w:val="32"/>
        </w:rPr>
        <w:t>1、拥护《中华人民共和国宪法》，遵守法律、法规，思想政治表现好，优秀业务骨干，身体健康，并能坚持在职学习者。</w:t>
      </w:r>
    </w:p>
    <w:p>
      <w:pPr>
        <w:rPr>
          <w:rFonts w:ascii="仿宋" w:hAnsi="仿宋" w:eastAsia="仿宋"/>
          <w:sz w:val="32"/>
          <w:szCs w:val="32"/>
        </w:rPr>
      </w:pPr>
      <w:r>
        <w:rPr>
          <w:rFonts w:hint="eastAsia" w:ascii="仿宋" w:hAnsi="仿宋" w:eastAsia="仿宋"/>
          <w:sz w:val="32"/>
          <w:szCs w:val="32"/>
        </w:rPr>
        <w:t>2、具备大专以上学历者，均可报名参加学习。</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八、报名办法</w:t>
      </w:r>
    </w:p>
    <w:p>
      <w:pPr>
        <w:rPr>
          <w:rFonts w:ascii="仿宋" w:hAnsi="仿宋" w:eastAsia="仿宋"/>
          <w:sz w:val="32"/>
          <w:szCs w:val="32"/>
        </w:rPr>
      </w:pPr>
      <w:r>
        <w:rPr>
          <w:rFonts w:hint="eastAsia" w:ascii="仿宋" w:hAnsi="仿宋" w:eastAsia="仿宋"/>
          <w:sz w:val="32"/>
          <w:szCs w:val="32"/>
        </w:rPr>
        <w:t>1、报名时间：即日起开始报名</w:t>
      </w:r>
    </w:p>
    <w:p>
      <w:pPr>
        <w:rPr>
          <w:rFonts w:ascii="仿宋" w:hAnsi="仿宋" w:eastAsia="仿宋"/>
          <w:sz w:val="32"/>
          <w:szCs w:val="32"/>
        </w:rPr>
      </w:pPr>
      <w:r>
        <w:rPr>
          <w:rFonts w:hint="eastAsia" w:ascii="仿宋" w:hAnsi="仿宋" w:eastAsia="仿宋"/>
          <w:sz w:val="32"/>
          <w:szCs w:val="32"/>
        </w:rPr>
        <w:t>2、报名地点：中国人民大学明德新闻楼0506室</w:t>
      </w:r>
    </w:p>
    <w:p>
      <w:pPr>
        <w:rPr>
          <w:rFonts w:ascii="仿宋" w:hAnsi="仿宋" w:eastAsia="仿宋"/>
          <w:sz w:val="32"/>
          <w:szCs w:val="32"/>
        </w:rPr>
      </w:pPr>
      <w:r>
        <w:rPr>
          <w:rFonts w:hint="eastAsia" w:ascii="仿宋" w:hAnsi="仿宋" w:eastAsia="仿宋"/>
          <w:sz w:val="32"/>
          <w:szCs w:val="32"/>
        </w:rPr>
        <w:t>3、报名手续：</w:t>
      </w:r>
    </w:p>
    <w:p>
      <w:pPr>
        <w:rPr>
          <w:rFonts w:ascii="仿宋" w:hAnsi="仿宋" w:eastAsia="仿宋"/>
          <w:sz w:val="32"/>
          <w:szCs w:val="32"/>
        </w:rPr>
      </w:pPr>
      <w:r>
        <w:rPr>
          <w:rFonts w:hint="eastAsia" w:ascii="仿宋" w:hAnsi="仿宋" w:eastAsia="仿宋"/>
          <w:sz w:val="32"/>
          <w:szCs w:val="32"/>
        </w:rPr>
        <w:t>(1)到报名地点注册，登记报名。</w:t>
      </w:r>
    </w:p>
    <w:p>
      <w:pPr>
        <w:rPr>
          <w:rFonts w:ascii="仿宋" w:hAnsi="仿宋" w:eastAsia="仿宋"/>
          <w:sz w:val="32"/>
          <w:szCs w:val="32"/>
        </w:rPr>
      </w:pPr>
      <w:r>
        <w:rPr>
          <w:rFonts w:hint="eastAsia" w:ascii="仿宋" w:hAnsi="仿宋" w:eastAsia="仿宋"/>
          <w:sz w:val="32"/>
          <w:szCs w:val="32"/>
        </w:rPr>
        <w:t>(2)填写在职人员在职课程研修班报名登记表。</w:t>
      </w:r>
    </w:p>
    <w:p>
      <w:pPr>
        <w:rPr>
          <w:rFonts w:ascii="仿宋" w:hAnsi="仿宋" w:eastAsia="仿宋"/>
          <w:sz w:val="32"/>
          <w:szCs w:val="32"/>
        </w:rPr>
      </w:pPr>
      <w:r>
        <w:rPr>
          <w:rFonts w:hint="eastAsia" w:ascii="仿宋" w:hAnsi="仿宋" w:eastAsia="仿宋"/>
          <w:sz w:val="32"/>
          <w:szCs w:val="32"/>
        </w:rPr>
        <w:t>(3)本人最后学历证书和学位证书原件、复印件;身份证复印件。</w:t>
      </w:r>
    </w:p>
    <w:p>
      <w:pPr>
        <w:rPr>
          <w:rFonts w:ascii="仿宋" w:hAnsi="仿宋" w:eastAsia="仿宋"/>
          <w:sz w:val="32"/>
          <w:szCs w:val="32"/>
        </w:rPr>
      </w:pPr>
      <w:r>
        <w:rPr>
          <w:rFonts w:hint="eastAsia" w:ascii="仿宋" w:hAnsi="仿宋" w:eastAsia="仿宋"/>
          <w:sz w:val="32"/>
          <w:szCs w:val="32"/>
        </w:rPr>
        <w:t>(4)2寸同底彩色证件照4张。</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九、收费标准</w:t>
      </w:r>
    </w:p>
    <w:p>
      <w:pPr>
        <w:rPr>
          <w:rFonts w:ascii="仿宋" w:hAnsi="仿宋" w:eastAsia="仿宋"/>
          <w:sz w:val="32"/>
          <w:szCs w:val="32"/>
        </w:rPr>
      </w:pPr>
      <w:r>
        <w:rPr>
          <w:rFonts w:hint="eastAsia" w:ascii="仿宋" w:hAnsi="仿宋" w:eastAsia="仿宋"/>
          <w:sz w:val="32"/>
          <w:szCs w:val="32"/>
        </w:rPr>
        <w:t>研修班学费20000元(两年)，书费、资料费自理。学费一次性交清。</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十、证书</w:t>
      </w:r>
    </w:p>
    <w:p>
      <w:pPr>
        <w:rPr>
          <w:rFonts w:ascii="仿宋" w:hAnsi="仿宋" w:eastAsia="仿宋"/>
          <w:sz w:val="32"/>
          <w:szCs w:val="32"/>
        </w:rPr>
      </w:pPr>
      <w:r>
        <w:rPr>
          <w:rFonts w:hint="eastAsia" w:ascii="仿宋" w:hAnsi="仿宋" w:eastAsia="仿宋"/>
          <w:sz w:val="32"/>
          <w:szCs w:val="32"/>
        </w:rPr>
        <w:t>1、学员完成“课程设置”中所规定的课程并考试（考核）成绩合格者即可结业。</w:t>
      </w:r>
      <w:r>
        <w:rPr>
          <w:rFonts w:hint="eastAsia" w:ascii="仿宋" w:hAnsi="仿宋" w:eastAsia="仿宋"/>
          <w:sz w:val="32"/>
          <w:szCs w:val="32"/>
        </w:rPr>
        <w:br w:type="textWrapping"/>
      </w:r>
      <w:r>
        <w:rPr>
          <w:rFonts w:hint="eastAsia" w:ascii="仿宋" w:hAnsi="仿宋" w:eastAsia="仿宋"/>
          <w:sz w:val="32"/>
          <w:szCs w:val="32"/>
        </w:rPr>
        <w:t>2、结业学员获加盖学校钢印和红章的 《中国人民大学研修班结业证书》。</w:t>
      </w:r>
      <w:r>
        <w:rPr>
          <w:rFonts w:hint="eastAsia" w:ascii="仿宋" w:hAnsi="仿宋" w:eastAsia="仿宋"/>
          <w:sz w:val="32"/>
          <w:szCs w:val="32"/>
        </w:rPr>
        <w:br w:type="textWrapping"/>
      </w:r>
      <w:r>
        <w:rPr>
          <w:rFonts w:hint="eastAsia" w:ascii="仿宋" w:hAnsi="仿宋" w:eastAsia="仿宋"/>
          <w:sz w:val="32"/>
          <w:szCs w:val="32"/>
        </w:rPr>
        <w:t>3、符合申请硕士学位条件的学员（取得国家承认学士学位）可按我校有关规定申请中国人民大学法学硕士学位。</w:t>
      </w:r>
    </w:p>
    <w:p>
      <w:pPr>
        <w:rPr>
          <w:rFonts w:hint="eastAsia" w:ascii="仿宋" w:hAnsi="仿宋" w:eastAsia="仿宋"/>
          <w:sz w:val="32"/>
          <w:szCs w:val="32"/>
        </w:rPr>
      </w:pPr>
      <w:r>
        <w:rPr>
          <w:rFonts w:hint="eastAsia" w:ascii="黑体" w:hAnsi="黑体" w:eastAsia="黑体" w:cs="宋体"/>
          <w:b/>
          <w:bCs/>
          <w:color w:val="444444"/>
          <w:kern w:val="0"/>
          <w:sz w:val="30"/>
          <w:szCs w:val="30"/>
        </w:rPr>
        <w:t>十一、</w:t>
      </w:r>
      <w:r>
        <w:rPr>
          <w:rFonts w:hint="eastAsia" w:ascii="黑体" w:hAnsi="黑体" w:eastAsia="黑体" w:cs="宋体"/>
          <w:color w:val="444444"/>
          <w:kern w:val="0"/>
          <w:sz w:val="30"/>
          <w:szCs w:val="30"/>
        </w:rPr>
        <w:t>申请法学硕士学位及方法</w:t>
      </w:r>
      <w:r>
        <w:rPr>
          <w:rFonts w:ascii="Tahoma" w:hAnsi="Tahoma" w:cs="Tahoma"/>
          <w:b/>
          <w:bCs/>
          <w:color w:val="000000"/>
          <w:szCs w:val="21"/>
          <w:shd w:val="clear" w:color="auto" w:fill="FFFFFF"/>
        </w:rPr>
        <w:br w:type="textWrapping"/>
      </w:r>
      <w:r>
        <w:rPr>
          <w:rFonts w:hint="eastAsia" w:ascii="仿宋" w:hAnsi="仿宋" w:eastAsia="仿宋"/>
          <w:sz w:val="32"/>
          <w:szCs w:val="32"/>
        </w:rPr>
        <w:t>1、申请学位按照中国人民大学研究生院学位办公室关于以研究生毕业同等学力申请硕士学位的规定办理。所交学费不包括进入论文阶段后的费用。</w:t>
      </w:r>
      <w:r>
        <w:rPr>
          <w:rFonts w:hint="eastAsia" w:ascii="宋体" w:hAnsi="宋体" w:eastAsia="宋体" w:cs="宋体"/>
          <w:sz w:val="32"/>
          <w:szCs w:val="32"/>
        </w:rPr>
        <w:t> </w:t>
      </w:r>
      <w:r>
        <w:rPr>
          <w:rFonts w:hint="eastAsia" w:ascii="仿宋" w:hAnsi="仿宋" w:eastAsia="仿宋"/>
          <w:sz w:val="32"/>
          <w:szCs w:val="32"/>
        </w:rPr>
        <w:br w:type="textWrapping"/>
      </w:r>
      <w:r>
        <w:rPr>
          <w:rFonts w:hint="eastAsia" w:ascii="仿宋" w:hAnsi="仿宋" w:eastAsia="仿宋"/>
          <w:sz w:val="32"/>
          <w:szCs w:val="32"/>
        </w:rPr>
        <w:t>2、报名参加在职课程研修班学习的人员，可在报名时提出以研究生毕业同等学力申请硕士学位。</w:t>
      </w:r>
      <w:r>
        <w:rPr>
          <w:rFonts w:hint="eastAsia" w:ascii="宋体" w:hAnsi="宋体" w:eastAsia="宋体" w:cs="宋体"/>
          <w:sz w:val="32"/>
          <w:szCs w:val="32"/>
        </w:rPr>
        <w:t> </w:t>
      </w:r>
      <w:r>
        <w:rPr>
          <w:rFonts w:hint="eastAsia" w:ascii="仿宋" w:hAnsi="仿宋" w:eastAsia="仿宋"/>
          <w:sz w:val="32"/>
          <w:szCs w:val="32"/>
        </w:rPr>
        <w:br w:type="textWrapping"/>
      </w:r>
      <w:r>
        <w:rPr>
          <w:rFonts w:hint="eastAsia" w:ascii="仿宋" w:hAnsi="仿宋" w:eastAsia="仿宋"/>
          <w:sz w:val="32"/>
          <w:szCs w:val="32"/>
        </w:rPr>
        <w:t>3、国家统一组织的英语和学科综合水平考试，由我院协助学员到研究生部办理手续，费用按规定由学员交纳。</w:t>
      </w:r>
      <w:r>
        <w:rPr>
          <w:rFonts w:hint="eastAsia" w:ascii="宋体" w:hAnsi="宋体" w:eastAsia="宋体" w:cs="宋体"/>
          <w:sz w:val="32"/>
          <w:szCs w:val="32"/>
        </w:rPr>
        <w:t> </w:t>
      </w:r>
      <w:r>
        <w:rPr>
          <w:rFonts w:hint="eastAsia" w:ascii="仿宋" w:hAnsi="仿宋" w:eastAsia="仿宋"/>
          <w:sz w:val="32"/>
          <w:szCs w:val="32"/>
        </w:rPr>
        <w:br w:type="textWrapping"/>
      </w:r>
      <w:r>
        <w:rPr>
          <w:rFonts w:hint="eastAsia" w:ascii="仿宋" w:hAnsi="仿宋" w:eastAsia="仿宋"/>
          <w:sz w:val="32"/>
          <w:szCs w:val="32"/>
        </w:rPr>
        <w:t>4、我院将为学员安排教师进行学位论文的指导。</w:t>
      </w: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spacing w:line="400" w:lineRule="exact"/>
        <w:ind w:firstLine="157" w:firstLineChars="49"/>
        <w:jc w:val="center"/>
        <w:rPr>
          <w:rFonts w:hint="eastAsia" w:ascii="黑体" w:eastAsia="黑体"/>
          <w:b/>
          <w:sz w:val="32"/>
          <w:szCs w:val="32"/>
        </w:rPr>
      </w:pPr>
    </w:p>
    <w:p>
      <w:pPr>
        <w:spacing w:line="400" w:lineRule="exact"/>
        <w:ind w:firstLine="157" w:firstLineChars="49"/>
        <w:jc w:val="center"/>
        <w:rPr>
          <w:rFonts w:hint="eastAsia" w:ascii="黑体" w:eastAsia="黑体"/>
          <w:b/>
          <w:sz w:val="32"/>
          <w:szCs w:val="32"/>
        </w:rPr>
      </w:pPr>
    </w:p>
    <w:p>
      <w:pPr>
        <w:spacing w:line="400" w:lineRule="exact"/>
        <w:ind w:firstLine="157" w:firstLineChars="49"/>
        <w:jc w:val="center"/>
        <w:rPr>
          <w:rFonts w:hint="eastAsia" w:ascii="黑体" w:eastAsia="黑体"/>
          <w:b/>
          <w:sz w:val="32"/>
          <w:szCs w:val="32"/>
        </w:rPr>
      </w:pPr>
      <w:r>
        <w:rPr>
          <w:rFonts w:hint="eastAsia" w:ascii="黑体" w:eastAsia="黑体"/>
          <w:b/>
          <w:sz w:val="32"/>
          <w:szCs w:val="32"/>
        </w:rPr>
        <w:t>报 名 登 记 表</w:t>
      </w:r>
    </w:p>
    <w:p>
      <w:pPr>
        <w:spacing w:line="400" w:lineRule="exact"/>
        <w:ind w:firstLine="157" w:firstLineChars="49"/>
        <w:jc w:val="right"/>
        <w:rPr>
          <w:rFonts w:hint="eastAsia" w:ascii="黑体" w:eastAsia="黑体"/>
          <w:b/>
          <w:sz w:val="32"/>
          <w:szCs w:val="32"/>
        </w:rPr>
      </w:pPr>
      <w:r>
        <w:rPr>
          <w:rFonts w:hint="eastAsia" w:ascii="宋体" w:hAnsi="宋体"/>
          <w:sz w:val="24"/>
        </w:rPr>
        <w:t>报名时间：    年   月   日</w:t>
      </w:r>
    </w:p>
    <w:tbl>
      <w:tblPr>
        <w:tblStyle w:val="6"/>
        <w:tblpPr w:leftFromText="180" w:rightFromText="180" w:vertAnchor="text" w:horzAnchor="page" w:tblpX="1222" w:tblpY="473"/>
        <w:tblOverlap w:val="never"/>
        <w:tblW w:w="9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2"/>
        <w:gridCol w:w="1476"/>
        <w:gridCol w:w="1434"/>
        <w:gridCol w:w="6"/>
        <w:gridCol w:w="282"/>
        <w:gridCol w:w="57"/>
        <w:gridCol w:w="651"/>
        <w:gridCol w:w="84"/>
        <w:gridCol w:w="1192"/>
        <w:gridCol w:w="1154"/>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9" w:hRule="atLeast"/>
        </w:trPr>
        <w:tc>
          <w:tcPr>
            <w:tcW w:w="1872" w:type="dxa"/>
            <w:vAlign w:val="center"/>
          </w:tcPr>
          <w:p>
            <w:pPr>
              <w:jc w:val="center"/>
              <w:rPr>
                <w:rFonts w:hint="eastAsia"/>
                <w:sz w:val="24"/>
              </w:rPr>
            </w:pPr>
            <w:r>
              <w:rPr>
                <w:rFonts w:hint="eastAsia"/>
                <w:sz w:val="24"/>
              </w:rPr>
              <w:t>专   业</w:t>
            </w:r>
          </w:p>
        </w:tc>
        <w:tc>
          <w:tcPr>
            <w:tcW w:w="2910" w:type="dxa"/>
            <w:gridSpan w:val="2"/>
            <w:vAlign w:val="center"/>
          </w:tcPr>
          <w:p>
            <w:pPr>
              <w:jc w:val="center"/>
              <w:rPr>
                <w:rFonts w:hint="eastAsia"/>
                <w:sz w:val="24"/>
              </w:rPr>
            </w:pPr>
          </w:p>
        </w:tc>
        <w:tc>
          <w:tcPr>
            <w:tcW w:w="996" w:type="dxa"/>
            <w:gridSpan w:val="4"/>
            <w:vAlign w:val="center"/>
          </w:tcPr>
          <w:p>
            <w:pPr>
              <w:jc w:val="center"/>
              <w:rPr>
                <w:rFonts w:hint="eastAsia"/>
                <w:sz w:val="24"/>
              </w:rPr>
            </w:pPr>
            <w:r>
              <w:rPr>
                <w:rFonts w:hint="eastAsia"/>
                <w:sz w:val="24"/>
              </w:rPr>
              <w:t>方  向</w:t>
            </w:r>
          </w:p>
        </w:tc>
        <w:tc>
          <w:tcPr>
            <w:tcW w:w="2430" w:type="dxa"/>
            <w:gridSpan w:val="3"/>
            <w:vAlign w:val="center"/>
          </w:tcPr>
          <w:p>
            <w:pPr>
              <w:jc w:val="center"/>
              <w:rPr>
                <w:rFonts w:hint="eastAsia"/>
                <w:sz w:val="24"/>
              </w:rPr>
            </w:pPr>
          </w:p>
        </w:tc>
        <w:tc>
          <w:tcPr>
            <w:tcW w:w="1627" w:type="dxa"/>
            <w:vMerge w:val="restart"/>
            <w:vAlign w:val="center"/>
          </w:tcPr>
          <w:p>
            <w:pPr>
              <w:jc w:val="center"/>
              <w:rPr>
                <w:sz w:val="24"/>
              </w:rPr>
            </w:pPr>
            <w:r>
              <w:rPr>
                <w:rFonts w:hint="eastAsia"/>
                <w:sz w:val="24"/>
              </w:rPr>
              <w:t>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trPr>
        <w:tc>
          <w:tcPr>
            <w:tcW w:w="1872" w:type="dxa"/>
            <w:vAlign w:val="center"/>
          </w:tcPr>
          <w:p>
            <w:pPr>
              <w:jc w:val="center"/>
              <w:rPr>
                <w:sz w:val="24"/>
              </w:rPr>
            </w:pPr>
            <w:r>
              <w:rPr>
                <w:rFonts w:hint="eastAsia"/>
                <w:sz w:val="24"/>
              </w:rPr>
              <w:t>姓    名</w:t>
            </w:r>
          </w:p>
        </w:tc>
        <w:tc>
          <w:tcPr>
            <w:tcW w:w="1476" w:type="dxa"/>
            <w:vAlign w:val="center"/>
          </w:tcPr>
          <w:p>
            <w:pPr>
              <w:jc w:val="center"/>
              <w:rPr>
                <w:rFonts w:hint="eastAsia"/>
                <w:sz w:val="24"/>
              </w:rPr>
            </w:pPr>
          </w:p>
        </w:tc>
        <w:tc>
          <w:tcPr>
            <w:tcW w:w="1440" w:type="dxa"/>
            <w:gridSpan w:val="2"/>
            <w:vAlign w:val="center"/>
          </w:tcPr>
          <w:p>
            <w:pPr>
              <w:jc w:val="center"/>
              <w:rPr>
                <w:sz w:val="24"/>
              </w:rPr>
            </w:pPr>
            <w:r>
              <w:rPr>
                <w:rFonts w:hint="eastAsia"/>
                <w:sz w:val="24"/>
              </w:rPr>
              <w:t>身份证号</w:t>
            </w:r>
          </w:p>
        </w:tc>
        <w:tc>
          <w:tcPr>
            <w:tcW w:w="3420" w:type="dxa"/>
            <w:gridSpan w:val="6"/>
            <w:vAlign w:val="center"/>
          </w:tcPr>
          <w:p>
            <w:pPr>
              <w:jc w:val="center"/>
              <w:rPr>
                <w:sz w:val="24"/>
              </w:rPr>
            </w:pPr>
          </w:p>
        </w:tc>
        <w:tc>
          <w:tcPr>
            <w:tcW w:w="1627"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4" w:hRule="atLeast"/>
        </w:trPr>
        <w:tc>
          <w:tcPr>
            <w:tcW w:w="1872" w:type="dxa"/>
            <w:vAlign w:val="center"/>
          </w:tcPr>
          <w:p>
            <w:pPr>
              <w:jc w:val="center"/>
              <w:rPr>
                <w:sz w:val="24"/>
              </w:rPr>
            </w:pPr>
            <w:r>
              <w:rPr>
                <w:rFonts w:hint="eastAsia"/>
                <w:sz w:val="24"/>
              </w:rPr>
              <w:t>出生年月日</w:t>
            </w:r>
          </w:p>
        </w:tc>
        <w:tc>
          <w:tcPr>
            <w:tcW w:w="1476" w:type="dxa"/>
            <w:tcBorders>
              <w:bottom w:val="single" w:color="auto" w:sz="4" w:space="0"/>
            </w:tcBorders>
            <w:vAlign w:val="center"/>
          </w:tcPr>
          <w:p>
            <w:pPr>
              <w:jc w:val="center"/>
              <w:rPr>
                <w:sz w:val="24"/>
              </w:rPr>
            </w:pPr>
          </w:p>
        </w:tc>
        <w:tc>
          <w:tcPr>
            <w:tcW w:w="1440" w:type="dxa"/>
            <w:gridSpan w:val="2"/>
            <w:tcBorders>
              <w:bottom w:val="single" w:color="auto" w:sz="4" w:space="0"/>
            </w:tcBorders>
            <w:vAlign w:val="center"/>
          </w:tcPr>
          <w:p>
            <w:pPr>
              <w:jc w:val="center"/>
              <w:rPr>
                <w:sz w:val="24"/>
              </w:rPr>
            </w:pPr>
            <w:r>
              <w:rPr>
                <w:rFonts w:hint="eastAsia"/>
                <w:sz w:val="24"/>
              </w:rPr>
              <w:t>性别</w:t>
            </w:r>
          </w:p>
        </w:tc>
        <w:tc>
          <w:tcPr>
            <w:tcW w:w="990" w:type="dxa"/>
            <w:gridSpan w:val="3"/>
            <w:tcBorders>
              <w:bottom w:val="single" w:color="auto" w:sz="4" w:space="0"/>
            </w:tcBorders>
            <w:vAlign w:val="center"/>
          </w:tcPr>
          <w:p>
            <w:pPr>
              <w:jc w:val="center"/>
              <w:rPr>
                <w:sz w:val="24"/>
              </w:rPr>
            </w:pPr>
          </w:p>
        </w:tc>
        <w:tc>
          <w:tcPr>
            <w:tcW w:w="1276" w:type="dxa"/>
            <w:gridSpan w:val="2"/>
            <w:tcBorders>
              <w:bottom w:val="single" w:color="auto" w:sz="4" w:space="0"/>
            </w:tcBorders>
            <w:vAlign w:val="center"/>
          </w:tcPr>
          <w:p>
            <w:pPr>
              <w:rPr>
                <w:rFonts w:hint="eastAsia"/>
                <w:sz w:val="24"/>
              </w:rPr>
            </w:pPr>
            <w:r>
              <w:rPr>
                <w:rFonts w:hint="eastAsia"/>
                <w:sz w:val="24"/>
              </w:rPr>
              <w:t>政治面貌</w:t>
            </w:r>
          </w:p>
        </w:tc>
        <w:tc>
          <w:tcPr>
            <w:tcW w:w="1154" w:type="dxa"/>
            <w:tcBorders>
              <w:bottom w:val="single" w:color="auto" w:sz="4" w:space="0"/>
            </w:tcBorders>
            <w:vAlign w:val="center"/>
          </w:tcPr>
          <w:p>
            <w:pPr>
              <w:jc w:val="center"/>
              <w:rPr>
                <w:sz w:val="24"/>
              </w:rPr>
            </w:pPr>
          </w:p>
        </w:tc>
        <w:tc>
          <w:tcPr>
            <w:tcW w:w="1627"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872" w:type="dxa"/>
            <w:tcBorders>
              <w:right w:val="single" w:color="auto" w:sz="4" w:space="0"/>
            </w:tcBorders>
            <w:vAlign w:val="center"/>
          </w:tcPr>
          <w:p>
            <w:pPr>
              <w:jc w:val="center"/>
              <w:rPr>
                <w:rFonts w:hint="eastAsia"/>
                <w:sz w:val="24"/>
              </w:rPr>
            </w:pPr>
            <w:r>
              <w:rPr>
                <w:rFonts w:hint="eastAsia"/>
                <w:sz w:val="24"/>
              </w:rPr>
              <w:t>E-mail</w:t>
            </w:r>
          </w:p>
          <w:p>
            <w:pPr>
              <w:jc w:val="center"/>
              <w:rPr>
                <w:sz w:val="24"/>
              </w:rPr>
            </w:pPr>
            <w:r>
              <w:rPr>
                <w:rFonts w:hint="eastAsia"/>
                <w:sz w:val="24"/>
              </w:rPr>
              <w:t>或</w:t>
            </w:r>
            <w:r>
              <w:rPr>
                <w:rFonts w:hint="eastAsia" w:ascii="宋体" w:hAnsi="宋体"/>
                <w:sz w:val="24"/>
              </w:rPr>
              <w:t>QQ</w:t>
            </w:r>
            <w:r>
              <w:rPr>
                <w:rFonts w:hint="eastAsia"/>
                <w:sz w:val="24"/>
              </w:rPr>
              <w:t>号</w:t>
            </w:r>
          </w:p>
        </w:tc>
        <w:tc>
          <w:tcPr>
            <w:tcW w:w="3906" w:type="dxa"/>
            <w:gridSpan w:val="6"/>
            <w:tcBorders>
              <w:top w:val="single" w:color="auto" w:sz="4" w:space="0"/>
              <w:left w:val="single" w:color="auto" w:sz="4" w:space="0"/>
              <w:bottom w:val="single" w:color="auto" w:sz="4" w:space="0"/>
            </w:tcBorders>
            <w:vAlign w:val="center"/>
          </w:tcPr>
          <w:p>
            <w:pPr>
              <w:jc w:val="center"/>
              <w:rPr>
                <w:sz w:val="24"/>
              </w:rPr>
            </w:pPr>
          </w:p>
        </w:tc>
        <w:tc>
          <w:tcPr>
            <w:tcW w:w="1276" w:type="dxa"/>
            <w:gridSpan w:val="2"/>
            <w:tcBorders>
              <w:top w:val="single" w:color="auto" w:sz="4" w:space="0"/>
              <w:left w:val="single" w:color="auto" w:sz="4" w:space="0"/>
              <w:bottom w:val="single" w:color="auto" w:sz="4" w:space="0"/>
            </w:tcBorders>
            <w:vAlign w:val="center"/>
          </w:tcPr>
          <w:p>
            <w:pPr>
              <w:jc w:val="center"/>
              <w:rPr>
                <w:sz w:val="24"/>
              </w:rPr>
            </w:pPr>
            <w:r>
              <w:rPr>
                <w:rFonts w:hint="eastAsia"/>
                <w:sz w:val="24"/>
              </w:rPr>
              <w:t>籍    贯</w:t>
            </w:r>
          </w:p>
        </w:tc>
        <w:tc>
          <w:tcPr>
            <w:tcW w:w="1154" w:type="dxa"/>
            <w:tcBorders>
              <w:top w:val="single" w:color="auto" w:sz="4" w:space="0"/>
              <w:left w:val="single" w:color="auto" w:sz="4" w:space="0"/>
              <w:bottom w:val="single" w:color="auto" w:sz="4" w:space="0"/>
            </w:tcBorders>
            <w:vAlign w:val="center"/>
          </w:tcPr>
          <w:p>
            <w:pPr>
              <w:jc w:val="center"/>
              <w:rPr>
                <w:sz w:val="24"/>
              </w:rPr>
            </w:pPr>
          </w:p>
        </w:tc>
        <w:tc>
          <w:tcPr>
            <w:tcW w:w="1627" w:type="dxa"/>
            <w:vMerge w:val="continue"/>
            <w:tcBorders>
              <w:bottom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1872" w:type="dxa"/>
            <w:vAlign w:val="center"/>
          </w:tcPr>
          <w:p>
            <w:pPr>
              <w:jc w:val="center"/>
              <w:rPr>
                <w:rFonts w:hint="eastAsia"/>
                <w:sz w:val="24"/>
              </w:rPr>
            </w:pPr>
            <w:r>
              <w:rPr>
                <w:rFonts w:hint="eastAsia"/>
                <w:sz w:val="24"/>
              </w:rPr>
              <w:t>工作单位</w:t>
            </w:r>
          </w:p>
        </w:tc>
        <w:tc>
          <w:tcPr>
            <w:tcW w:w="3906" w:type="dxa"/>
            <w:gridSpan w:val="6"/>
            <w:tcBorders>
              <w:top w:val="single" w:color="auto" w:sz="4" w:space="0"/>
            </w:tcBorders>
            <w:vAlign w:val="center"/>
          </w:tcPr>
          <w:p>
            <w:pPr>
              <w:jc w:val="center"/>
              <w:rPr>
                <w:sz w:val="24"/>
              </w:rPr>
            </w:pPr>
          </w:p>
        </w:tc>
        <w:tc>
          <w:tcPr>
            <w:tcW w:w="1276" w:type="dxa"/>
            <w:gridSpan w:val="2"/>
            <w:tcBorders>
              <w:top w:val="single" w:color="auto" w:sz="4" w:space="0"/>
            </w:tcBorders>
            <w:vAlign w:val="center"/>
          </w:tcPr>
          <w:p>
            <w:pPr>
              <w:jc w:val="center"/>
              <w:rPr>
                <w:rFonts w:hint="eastAsia"/>
                <w:sz w:val="24"/>
              </w:rPr>
            </w:pPr>
            <w:r>
              <w:rPr>
                <w:rFonts w:hint="eastAsia"/>
                <w:sz w:val="24"/>
              </w:rPr>
              <w:t>职    务</w:t>
            </w:r>
          </w:p>
        </w:tc>
        <w:tc>
          <w:tcPr>
            <w:tcW w:w="2781" w:type="dxa"/>
            <w:gridSpan w:val="2"/>
            <w:tcBorders>
              <w:top w:val="single" w:color="auto" w:sz="4" w:space="0"/>
            </w:tcBorders>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1872" w:type="dxa"/>
            <w:vAlign w:val="center"/>
          </w:tcPr>
          <w:p>
            <w:pPr>
              <w:jc w:val="center"/>
              <w:rPr>
                <w:rFonts w:hint="eastAsia"/>
                <w:sz w:val="24"/>
              </w:rPr>
            </w:pPr>
            <w:r>
              <w:rPr>
                <w:rFonts w:hint="eastAsia"/>
                <w:sz w:val="24"/>
              </w:rPr>
              <w:t>手    机</w:t>
            </w:r>
          </w:p>
        </w:tc>
        <w:tc>
          <w:tcPr>
            <w:tcW w:w="3255" w:type="dxa"/>
            <w:gridSpan w:val="5"/>
            <w:tcBorders>
              <w:top w:val="single" w:color="auto" w:sz="4" w:space="0"/>
            </w:tcBorders>
            <w:vAlign w:val="center"/>
          </w:tcPr>
          <w:p>
            <w:pPr>
              <w:jc w:val="center"/>
              <w:rPr>
                <w:rFonts w:hint="eastAsia"/>
                <w:sz w:val="24"/>
              </w:rPr>
            </w:pPr>
          </w:p>
        </w:tc>
        <w:tc>
          <w:tcPr>
            <w:tcW w:w="1927" w:type="dxa"/>
            <w:gridSpan w:val="3"/>
            <w:tcBorders>
              <w:top w:val="single" w:color="auto" w:sz="4" w:space="0"/>
            </w:tcBorders>
            <w:vAlign w:val="center"/>
          </w:tcPr>
          <w:p>
            <w:pPr>
              <w:rPr>
                <w:rFonts w:hint="eastAsia"/>
                <w:sz w:val="24"/>
              </w:rPr>
            </w:pPr>
            <w:r>
              <w:rPr>
                <w:rFonts w:hint="eastAsia"/>
                <w:sz w:val="24"/>
              </w:rPr>
              <w:t>紧急联系电话</w:t>
            </w:r>
          </w:p>
        </w:tc>
        <w:tc>
          <w:tcPr>
            <w:tcW w:w="2781" w:type="dxa"/>
            <w:gridSpan w:val="2"/>
            <w:tcBorders>
              <w:top w:val="single" w:color="auto" w:sz="4" w:space="0"/>
            </w:tcBorders>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1872" w:type="dxa"/>
            <w:vAlign w:val="center"/>
          </w:tcPr>
          <w:p>
            <w:pPr>
              <w:jc w:val="center"/>
              <w:rPr>
                <w:sz w:val="24"/>
              </w:rPr>
            </w:pPr>
            <w:r>
              <w:rPr>
                <w:rFonts w:hint="eastAsia"/>
                <w:sz w:val="24"/>
              </w:rPr>
              <w:t>毕业院校</w:t>
            </w:r>
          </w:p>
        </w:tc>
        <w:tc>
          <w:tcPr>
            <w:tcW w:w="3990" w:type="dxa"/>
            <w:gridSpan w:val="7"/>
            <w:vAlign w:val="center"/>
          </w:tcPr>
          <w:p>
            <w:pPr>
              <w:snapToGrid w:val="0"/>
              <w:ind w:firstLine="600" w:firstLineChars="250"/>
              <w:rPr>
                <w:rFonts w:hint="eastAsia"/>
                <w:sz w:val="24"/>
              </w:rPr>
            </w:pPr>
          </w:p>
        </w:tc>
        <w:tc>
          <w:tcPr>
            <w:tcW w:w="1192" w:type="dxa"/>
            <w:vAlign w:val="center"/>
          </w:tcPr>
          <w:p>
            <w:pPr>
              <w:snapToGrid w:val="0"/>
              <w:rPr>
                <w:rFonts w:hint="eastAsia"/>
                <w:sz w:val="24"/>
              </w:rPr>
            </w:pPr>
            <w:r>
              <w:rPr>
                <w:rFonts w:hint="eastAsia"/>
                <w:sz w:val="24"/>
              </w:rPr>
              <w:t>专    业</w:t>
            </w:r>
          </w:p>
        </w:tc>
        <w:tc>
          <w:tcPr>
            <w:tcW w:w="2781" w:type="dxa"/>
            <w:gridSpan w:val="2"/>
            <w:vAlign w:val="center"/>
          </w:tcPr>
          <w:p>
            <w:pPr>
              <w:snapToGrid w:val="0"/>
              <w:ind w:firstLine="600" w:firstLineChars="25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872" w:type="dxa"/>
            <w:vAlign w:val="center"/>
          </w:tcPr>
          <w:p>
            <w:pPr>
              <w:jc w:val="center"/>
              <w:rPr>
                <w:rFonts w:hint="eastAsia"/>
                <w:sz w:val="24"/>
              </w:rPr>
            </w:pPr>
            <w:r>
              <w:rPr>
                <w:rFonts w:hint="eastAsia"/>
                <w:sz w:val="24"/>
              </w:rPr>
              <w:t>取得学历时间</w:t>
            </w:r>
          </w:p>
        </w:tc>
        <w:tc>
          <w:tcPr>
            <w:tcW w:w="3198" w:type="dxa"/>
            <w:gridSpan w:val="4"/>
            <w:vAlign w:val="center"/>
          </w:tcPr>
          <w:p>
            <w:pPr>
              <w:jc w:val="center"/>
              <w:rPr>
                <w:rFonts w:hint="eastAsia"/>
                <w:sz w:val="24"/>
              </w:rPr>
            </w:pPr>
          </w:p>
        </w:tc>
        <w:tc>
          <w:tcPr>
            <w:tcW w:w="1984" w:type="dxa"/>
            <w:gridSpan w:val="4"/>
            <w:vAlign w:val="center"/>
          </w:tcPr>
          <w:p>
            <w:pPr>
              <w:jc w:val="center"/>
              <w:rPr>
                <w:rFonts w:hint="eastAsia"/>
                <w:sz w:val="24"/>
              </w:rPr>
            </w:pPr>
            <w:r>
              <w:rPr>
                <w:rFonts w:hint="eastAsia"/>
                <w:sz w:val="24"/>
              </w:rPr>
              <w:t>取得学位时间</w:t>
            </w:r>
          </w:p>
        </w:tc>
        <w:tc>
          <w:tcPr>
            <w:tcW w:w="2781" w:type="dxa"/>
            <w:gridSpan w:val="2"/>
            <w:vAlign w:val="center"/>
          </w:tcPr>
          <w:p>
            <w:pPr>
              <w:rPr>
                <w:rFonts w:hint="eastAsia"/>
                <w:sz w:val="24"/>
              </w:rPr>
            </w:pPr>
            <w:r>
              <w:rPr>
                <w:rFonts w:hint="eastAsia"/>
                <w:sz w:val="24"/>
              </w:rPr>
              <w:t xml:space="preserve">学士       年      月   </w:t>
            </w:r>
          </w:p>
          <w:p>
            <w:pPr>
              <w:rPr>
                <w:rFonts w:hint="eastAsia"/>
                <w:sz w:val="24"/>
              </w:rPr>
            </w:pPr>
            <w:r>
              <w:rPr>
                <w:rFonts w:hint="eastAsia"/>
                <w:sz w:val="24"/>
              </w:rPr>
              <w:t>硕士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872" w:type="dxa"/>
            <w:vAlign w:val="center"/>
          </w:tcPr>
          <w:p>
            <w:pPr>
              <w:jc w:val="center"/>
              <w:rPr>
                <w:rFonts w:hint="eastAsia"/>
                <w:sz w:val="24"/>
              </w:rPr>
            </w:pPr>
            <w:r>
              <w:rPr>
                <w:rFonts w:hint="eastAsia"/>
                <w:sz w:val="24"/>
              </w:rPr>
              <w:t>学历证书编号</w:t>
            </w:r>
          </w:p>
        </w:tc>
        <w:tc>
          <w:tcPr>
            <w:tcW w:w="3198" w:type="dxa"/>
            <w:gridSpan w:val="4"/>
            <w:vAlign w:val="center"/>
          </w:tcPr>
          <w:p>
            <w:pPr>
              <w:jc w:val="center"/>
              <w:rPr>
                <w:rFonts w:hint="eastAsia"/>
                <w:sz w:val="24"/>
              </w:rPr>
            </w:pPr>
          </w:p>
        </w:tc>
        <w:tc>
          <w:tcPr>
            <w:tcW w:w="1984" w:type="dxa"/>
            <w:gridSpan w:val="4"/>
            <w:vAlign w:val="center"/>
          </w:tcPr>
          <w:p>
            <w:pPr>
              <w:jc w:val="center"/>
              <w:rPr>
                <w:rFonts w:hint="eastAsia"/>
                <w:sz w:val="24"/>
              </w:rPr>
            </w:pPr>
            <w:r>
              <w:rPr>
                <w:rFonts w:hint="eastAsia"/>
                <w:sz w:val="24"/>
              </w:rPr>
              <w:t>学位证书编号</w:t>
            </w:r>
          </w:p>
        </w:tc>
        <w:tc>
          <w:tcPr>
            <w:tcW w:w="2781" w:type="dxa"/>
            <w:gridSpan w:val="2"/>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1872" w:type="dxa"/>
            <w:vAlign w:val="center"/>
          </w:tcPr>
          <w:p>
            <w:pPr>
              <w:jc w:val="center"/>
              <w:rPr>
                <w:rFonts w:hint="eastAsia"/>
                <w:sz w:val="24"/>
              </w:rPr>
            </w:pPr>
            <w:r>
              <w:rPr>
                <w:rFonts w:hint="eastAsia"/>
                <w:sz w:val="24"/>
              </w:rPr>
              <w:t>外国语种</w:t>
            </w:r>
          </w:p>
        </w:tc>
        <w:tc>
          <w:tcPr>
            <w:tcW w:w="3198" w:type="dxa"/>
            <w:gridSpan w:val="4"/>
            <w:vAlign w:val="center"/>
          </w:tcPr>
          <w:p>
            <w:pPr>
              <w:jc w:val="center"/>
              <w:rPr>
                <w:rFonts w:hint="eastAsia"/>
                <w:sz w:val="24"/>
              </w:rPr>
            </w:pPr>
          </w:p>
        </w:tc>
        <w:tc>
          <w:tcPr>
            <w:tcW w:w="1984" w:type="dxa"/>
            <w:gridSpan w:val="4"/>
            <w:vAlign w:val="center"/>
          </w:tcPr>
          <w:p>
            <w:pPr>
              <w:ind w:left="-107" w:leftChars="-51"/>
              <w:jc w:val="center"/>
              <w:rPr>
                <w:rFonts w:hint="eastAsia"/>
                <w:sz w:val="24"/>
              </w:rPr>
            </w:pPr>
            <w:r>
              <w:rPr>
                <w:rFonts w:hint="eastAsia"/>
                <w:sz w:val="24"/>
              </w:rPr>
              <w:t>是否申硕</w:t>
            </w:r>
          </w:p>
        </w:tc>
        <w:tc>
          <w:tcPr>
            <w:tcW w:w="2781" w:type="dxa"/>
            <w:gridSpan w:val="2"/>
            <w:vAlign w:val="center"/>
          </w:tcPr>
          <w:p>
            <w:pPr>
              <w:ind w:firstLine="960" w:firstLineChars="4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872" w:type="dxa"/>
            <w:vAlign w:val="center"/>
          </w:tcPr>
          <w:p>
            <w:pPr>
              <w:jc w:val="center"/>
              <w:rPr>
                <w:rFonts w:hint="eastAsia"/>
                <w:sz w:val="24"/>
              </w:rPr>
            </w:pPr>
            <w:r>
              <w:rPr>
                <w:rFonts w:hint="eastAsia"/>
                <w:sz w:val="24"/>
              </w:rPr>
              <w:t>所属院系</w:t>
            </w:r>
          </w:p>
        </w:tc>
        <w:tc>
          <w:tcPr>
            <w:tcW w:w="3198" w:type="dxa"/>
            <w:gridSpan w:val="4"/>
            <w:vAlign w:val="center"/>
          </w:tcPr>
          <w:p>
            <w:pPr>
              <w:ind w:firstLine="960" w:firstLineChars="400"/>
              <w:rPr>
                <w:rFonts w:hint="eastAsia"/>
                <w:sz w:val="24"/>
              </w:rPr>
            </w:pPr>
          </w:p>
        </w:tc>
        <w:tc>
          <w:tcPr>
            <w:tcW w:w="1984" w:type="dxa"/>
            <w:gridSpan w:val="4"/>
            <w:vAlign w:val="center"/>
          </w:tcPr>
          <w:p>
            <w:pPr>
              <w:rPr>
                <w:rFonts w:hint="eastAsia"/>
                <w:sz w:val="24"/>
              </w:rPr>
            </w:pPr>
            <w:r>
              <w:rPr>
                <w:rFonts w:hint="eastAsia"/>
                <w:sz w:val="24"/>
              </w:rPr>
              <w:t>特殊情况备注</w:t>
            </w:r>
          </w:p>
        </w:tc>
        <w:tc>
          <w:tcPr>
            <w:tcW w:w="2781" w:type="dxa"/>
            <w:gridSpan w:val="2"/>
            <w:vAlign w:val="center"/>
          </w:tcPr>
          <w:p>
            <w:pPr>
              <w:ind w:firstLine="960" w:firstLineChars="4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872" w:type="dxa"/>
            <w:vAlign w:val="center"/>
          </w:tcPr>
          <w:p>
            <w:pPr>
              <w:jc w:val="center"/>
              <w:rPr>
                <w:rFonts w:hint="eastAsia"/>
                <w:sz w:val="24"/>
              </w:rPr>
            </w:pPr>
            <w:r>
              <w:rPr>
                <w:rFonts w:hint="eastAsia"/>
                <w:sz w:val="24"/>
              </w:rPr>
              <w:t>发票抬头</w:t>
            </w:r>
          </w:p>
        </w:tc>
        <w:tc>
          <w:tcPr>
            <w:tcW w:w="1476" w:type="dxa"/>
            <w:vAlign w:val="center"/>
          </w:tcPr>
          <w:p>
            <w:pPr>
              <w:jc w:val="center"/>
              <w:rPr>
                <w:rFonts w:hint="eastAsia"/>
                <w:sz w:val="24"/>
              </w:rPr>
            </w:pPr>
            <w:r>
              <w:rPr>
                <w:rFonts w:hint="eastAsia"/>
                <w:sz w:val="24"/>
              </w:rPr>
              <w:t>项目：学费</w:t>
            </w:r>
          </w:p>
        </w:tc>
        <w:tc>
          <w:tcPr>
            <w:tcW w:w="6487" w:type="dxa"/>
            <w:gridSpan w:val="9"/>
            <w:vAlign w:val="center"/>
          </w:tcPr>
          <w:p>
            <w:pPr>
              <w:ind w:firstLine="960" w:firstLineChars="4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3" w:hRule="atLeast"/>
        </w:trPr>
        <w:tc>
          <w:tcPr>
            <w:tcW w:w="9835" w:type="dxa"/>
            <w:gridSpan w:val="11"/>
            <w:vAlign w:val="center"/>
          </w:tcPr>
          <w:p>
            <w:pPr>
              <w:ind w:left="1263" w:leftChars="115" w:hanging="1022" w:hangingChars="424"/>
              <w:rPr>
                <w:rFonts w:hint="eastAsia"/>
                <w:b/>
                <w:sz w:val="24"/>
              </w:rPr>
            </w:pPr>
            <w:r>
              <w:rPr>
                <w:rFonts w:hint="eastAsia"/>
                <w:b/>
                <w:sz w:val="24"/>
              </w:rPr>
              <w:t>学员须知：</w:t>
            </w:r>
          </w:p>
          <w:p>
            <w:pPr>
              <w:ind w:left="-57" w:leftChars="-27" w:firstLine="720" w:firstLineChars="300"/>
              <w:jc w:val="left"/>
              <w:rPr>
                <w:rFonts w:hint="eastAsia"/>
                <w:sz w:val="21"/>
                <w:szCs w:val="21"/>
              </w:rPr>
            </w:pPr>
            <w:r>
              <w:rPr>
                <w:rFonts w:hint="eastAsia"/>
                <w:sz w:val="21"/>
                <w:szCs w:val="21"/>
              </w:rPr>
              <w:t>一、本人承诺交付学校审核的毕业证书、学士学位证书、身份证真实有效，若因证书不真实造成后果，一切责任由本人自负。开学后，学员因故不能坚持进修，视为自动放弃学习，不退学费。</w:t>
            </w:r>
          </w:p>
          <w:p>
            <w:pPr>
              <w:ind w:left="74" w:hanging="24"/>
              <w:rPr>
                <w:rFonts w:hint="eastAsia"/>
                <w:sz w:val="21"/>
                <w:szCs w:val="21"/>
              </w:rPr>
            </w:pPr>
            <w:r>
              <w:rPr>
                <w:rFonts w:hint="eastAsia"/>
                <w:sz w:val="21"/>
                <w:szCs w:val="21"/>
              </w:rPr>
              <w:t xml:space="preserve">     二、取得学士学位满3年，即有资格申请硕士学位考试，取得考试资格证（有效期为4年）并按规定缴纳考试费（考试费是全部课程的考试费不包括两门的国家考试费用）后，方可申请参加学位课考试。</w:t>
            </w:r>
          </w:p>
          <w:p>
            <w:pPr>
              <w:ind w:left="73" w:leftChars="35" w:firstLine="600" w:firstLineChars="250"/>
              <w:rPr>
                <w:rFonts w:hint="eastAsia" w:ascii="宋体" w:hAnsi="宋体"/>
                <w:b/>
                <w:sz w:val="21"/>
                <w:szCs w:val="21"/>
              </w:rPr>
            </w:pPr>
            <w:r>
              <w:rPr>
                <w:rFonts w:hint="eastAsia"/>
                <w:sz w:val="21"/>
                <w:szCs w:val="21"/>
              </w:rPr>
              <w:t>学位课考试包括：① 4门题库课，考试时间是每年10月和4月，②11-14门非题库课考试，时间由学院安排。③国家水平考试：专业综合与外国语，考试时间是每年5月下旬。.</w:t>
            </w:r>
            <w:r>
              <w:rPr>
                <w:rFonts w:hint="eastAsia" w:ascii="宋体" w:hAnsi="宋体"/>
                <w:b/>
                <w:sz w:val="21"/>
                <w:szCs w:val="21"/>
              </w:rPr>
              <w:t xml:space="preserve"> </w:t>
            </w:r>
          </w:p>
          <w:p>
            <w:pPr>
              <w:ind w:left="73" w:leftChars="35" w:firstLine="600" w:firstLineChars="250"/>
              <w:rPr>
                <w:rFonts w:hint="eastAsia"/>
                <w:sz w:val="21"/>
                <w:szCs w:val="21"/>
              </w:rPr>
            </w:pPr>
            <w:r>
              <w:rPr>
                <w:rFonts w:hint="eastAsia"/>
                <w:sz w:val="21"/>
                <w:szCs w:val="21"/>
              </w:rPr>
              <w:t>三、全部考试通过、论文答辩通过，方可取得硕士学位证书。</w:t>
            </w:r>
          </w:p>
          <w:p>
            <w:pPr>
              <w:ind w:left="73" w:leftChars="35" w:firstLine="602" w:firstLineChars="250"/>
              <w:rPr>
                <w:rFonts w:hint="eastAsia"/>
                <w:b/>
                <w:color w:val="FF0000"/>
                <w:sz w:val="24"/>
              </w:rPr>
            </w:pPr>
            <w:r>
              <w:rPr>
                <w:rFonts w:hint="eastAsia"/>
                <w:b/>
                <w:color w:val="FF0000"/>
                <w:sz w:val="21"/>
                <w:szCs w:val="21"/>
              </w:rPr>
              <w:t>备注：未办理考试资格的学员，国考和题库考试不得参加！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trPr>
        <w:tc>
          <w:tcPr>
            <w:tcW w:w="1872" w:type="dxa"/>
            <w:vAlign w:val="center"/>
          </w:tcPr>
          <w:p>
            <w:pPr>
              <w:jc w:val="center"/>
              <w:rPr>
                <w:rFonts w:hint="eastAsia"/>
                <w:b/>
                <w:sz w:val="24"/>
              </w:rPr>
            </w:pPr>
            <w:r>
              <w:rPr>
                <w:rFonts w:hint="eastAsia"/>
                <w:b/>
                <w:sz w:val="24"/>
              </w:rPr>
              <w:t>收费标准</w:t>
            </w:r>
          </w:p>
        </w:tc>
        <w:tc>
          <w:tcPr>
            <w:tcW w:w="7963" w:type="dxa"/>
            <w:gridSpan w:val="10"/>
            <w:vAlign w:val="center"/>
          </w:tcPr>
          <w:p>
            <w:pPr>
              <w:rPr>
                <w:rFonts w:hint="eastAsia"/>
                <w:sz w:val="24"/>
              </w:rPr>
            </w:pPr>
            <w:r>
              <w:rPr>
                <w:rFonts w:hint="eastAsia"/>
                <w:sz w:val="24"/>
              </w:rPr>
              <w:t>1、进修学费         元，开课前一次性缴清；</w:t>
            </w:r>
          </w:p>
          <w:p>
            <w:pPr>
              <w:rPr>
                <w:rFonts w:hint="eastAsia"/>
                <w:sz w:val="24"/>
              </w:rPr>
            </w:pPr>
            <w:r>
              <w:rPr>
                <w:rFonts w:hint="eastAsia"/>
                <w:sz w:val="24"/>
              </w:rPr>
              <w:t>2、全部课程考试费（含题库考试费）收费标准是：科目数×250元+200元申请费约4000-4700左右；</w:t>
            </w:r>
          </w:p>
          <w:p>
            <w:pPr>
              <w:rPr>
                <w:rFonts w:hint="eastAsia"/>
                <w:sz w:val="24"/>
              </w:rPr>
            </w:pPr>
            <w:r>
              <w:rPr>
                <w:rFonts w:hint="eastAsia"/>
                <w:sz w:val="24"/>
              </w:rPr>
              <w:t>3、论文指导费、答辩费：6500元；</w:t>
            </w:r>
          </w:p>
          <w:p>
            <w:pPr>
              <w:rPr>
                <w:rFonts w:hint="eastAsia"/>
                <w:sz w:val="24"/>
              </w:rPr>
            </w:pPr>
            <w:r>
              <w:rPr>
                <w:rFonts w:hint="eastAsia"/>
                <w:sz w:val="24"/>
              </w:rPr>
              <w:t>4、国家考试费由教育部统一收取，每门100元。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1872" w:type="dxa"/>
            <w:vAlign w:val="center"/>
          </w:tcPr>
          <w:p>
            <w:pPr>
              <w:jc w:val="center"/>
              <w:rPr>
                <w:rFonts w:hint="eastAsia"/>
                <w:b/>
                <w:sz w:val="24"/>
              </w:rPr>
            </w:pPr>
            <w:r>
              <w:rPr>
                <w:rFonts w:hint="eastAsia"/>
                <w:b/>
                <w:sz w:val="24"/>
              </w:rPr>
              <w:t>签字确认</w:t>
            </w:r>
          </w:p>
        </w:tc>
        <w:tc>
          <w:tcPr>
            <w:tcW w:w="7963" w:type="dxa"/>
            <w:gridSpan w:val="10"/>
            <w:vAlign w:val="center"/>
          </w:tcPr>
          <w:p>
            <w:pPr>
              <w:rPr>
                <w:b/>
                <w:sz w:val="24"/>
              </w:rPr>
            </w:pPr>
            <w:r>
              <w:rPr>
                <w:rFonts w:hint="eastAsia"/>
                <w:b/>
                <w:sz w:val="24"/>
              </w:rPr>
              <w:t>请仔细阅读上述内容，并签字确认。</w:t>
            </w:r>
          </w:p>
          <w:p>
            <w:pPr>
              <w:rPr>
                <w:rFonts w:hint="eastAsia"/>
                <w:b/>
                <w:sz w:val="24"/>
              </w:rPr>
            </w:pPr>
            <w:r>
              <w:rPr>
                <w:rFonts w:hint="eastAsia"/>
                <w:b/>
                <w:sz w:val="24"/>
              </w:rPr>
              <w:t xml:space="preserve">                            </w:t>
            </w:r>
          </w:p>
          <w:p>
            <w:pPr>
              <w:ind w:firstLine="4250" w:firstLineChars="1764"/>
              <w:rPr>
                <w:rFonts w:hint="eastAsia"/>
                <w:b/>
                <w:sz w:val="24"/>
              </w:rPr>
            </w:pPr>
            <w:r>
              <w:rPr>
                <w:rFonts w:hint="eastAsia"/>
                <w:b/>
                <w:sz w:val="24"/>
              </w:rPr>
              <w:t xml:space="preserve"> 签名：</w:t>
            </w:r>
          </w:p>
        </w:tc>
      </w:tr>
    </w:tbl>
    <w:p>
      <w:pPr>
        <w:rPr>
          <w:rFonts w:hint="eastAsia" w:ascii="仿宋" w:hAnsi="仿宋" w:eastAsia="仿宋"/>
          <w:sz w:val="32"/>
          <w:szCs w:val="32"/>
        </w:rPr>
      </w:pP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00007A87" w:usb1="80000000" w:usb2="00000008" w:usb3="00000000" w:csb0="400001FF" w:csb1="FFFF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61007A87" w:usb1="80000000" w:usb2="00000008" w:usb3="00000000" w:csb0="200101FF" w:csb1="20280000"/>
  </w:font>
  <w:font w:name="方正小标宋简体">
    <w:panose1 w:val="02010601030101010101"/>
    <w:charset w:val="86"/>
    <w:family w:val="script"/>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DF7"/>
    <w:rsid w:val="00046DE0"/>
    <w:rsid w:val="001573FC"/>
    <w:rsid w:val="00374691"/>
    <w:rsid w:val="004E750F"/>
    <w:rsid w:val="00523CC8"/>
    <w:rsid w:val="00584DEF"/>
    <w:rsid w:val="005A4C6B"/>
    <w:rsid w:val="00781B53"/>
    <w:rsid w:val="007A162B"/>
    <w:rsid w:val="00895512"/>
    <w:rsid w:val="008B6583"/>
    <w:rsid w:val="00905827"/>
    <w:rsid w:val="00B11B51"/>
    <w:rsid w:val="00B91E72"/>
    <w:rsid w:val="00C16DF7"/>
    <w:rsid w:val="00C26BE8"/>
    <w:rsid w:val="00DC3E10"/>
    <w:rsid w:val="00F41C20"/>
    <w:rsid w:val="00F647E5"/>
    <w:rsid w:val="00F93D16"/>
    <w:rsid w:val="475A0F23"/>
    <w:rsid w:val="5D9E7998"/>
    <w:rsid w:val="6F115A45"/>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qFormat/>
    <w:uiPriority w:val="99"/>
    <w:rPr>
      <w:color w:val="0000FF"/>
      <w:u w:val="single"/>
    </w:rPr>
  </w:style>
  <w:style w:type="table" w:styleId="7">
    <w:name w:val="Table Grid"/>
    <w:basedOn w:val="6"/>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4"/>
    <w:link w:val="3"/>
    <w:qFormat/>
    <w:uiPriority w:val="99"/>
    <w:rPr>
      <w:sz w:val="18"/>
      <w:szCs w:val="18"/>
    </w:rPr>
  </w:style>
  <w:style w:type="character" w:customStyle="1" w:styleId="9">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378</Words>
  <Characters>2161</Characters>
  <Lines>18</Lines>
  <Paragraphs>5</Paragraphs>
  <ScaleCrop>false</ScaleCrop>
  <LinksUpToDate>false</LinksUpToDate>
  <CharactersWithSpaces>2534</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2015-12-18T07:53:00Z</dcterms:created>
  <dc:creator>admin</dc:creator>
  <cp:lastModifiedBy>Administrator</cp:lastModifiedBy>
  <dcterms:modified xsi:type="dcterms:W3CDTF">2017-03-07T07:10:05Z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