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中国人民大学历史学院201</w:t>
      </w:r>
      <w:r>
        <w:rPr>
          <w:rFonts w:hint="eastAsia"/>
          <w:b/>
          <w:sz w:val="36"/>
          <w:szCs w:val="36"/>
          <w:lang w:val="en-US" w:eastAsia="zh-CN"/>
        </w:rPr>
        <w:t>7</w:t>
      </w:r>
      <w:r>
        <w:rPr>
          <w:rFonts w:hint="eastAsia"/>
          <w:b/>
          <w:sz w:val="36"/>
          <w:szCs w:val="36"/>
        </w:rPr>
        <w:t>级考古文博学专业</w:t>
      </w:r>
    </w:p>
    <w:p>
      <w:pPr>
        <w:jc w:val="center"/>
        <w:rPr>
          <w:b/>
          <w:sz w:val="36"/>
          <w:szCs w:val="36"/>
        </w:rPr>
      </w:pPr>
      <w:r>
        <w:rPr>
          <w:rFonts w:hint="eastAsia"/>
          <w:b/>
          <w:sz w:val="36"/>
          <w:szCs w:val="36"/>
        </w:rPr>
        <w:t>课程研修班招生简章</w:t>
      </w:r>
    </w:p>
    <w:p>
      <w:pPr>
        <w:ind w:firstLine="200" w:firstLineChars="200"/>
        <w:rPr>
          <w:rFonts w:ascii="仿宋" w:hAnsi="仿宋" w:eastAsia="仿宋"/>
          <w:sz w:val="10"/>
          <w:szCs w:val="10"/>
        </w:rPr>
      </w:pPr>
    </w:p>
    <w:p>
      <w:pPr>
        <w:ind w:firstLine="640" w:firstLineChars="200"/>
        <w:rPr>
          <w:rFonts w:ascii="仿宋" w:hAnsi="仿宋" w:eastAsia="仿宋"/>
          <w:sz w:val="32"/>
          <w:szCs w:val="32"/>
        </w:rPr>
      </w:pPr>
      <w:r>
        <w:rPr>
          <w:rFonts w:hint="eastAsia" w:ascii="仿宋" w:hAnsi="仿宋" w:eastAsia="仿宋"/>
          <w:sz w:val="32"/>
          <w:szCs w:val="32"/>
        </w:rPr>
        <w:t>为适应改革开放和社会经济发展对高层次历史人才的需要，提高在职人员业务素质，经北京市学位委员会办公室备案同意，中国人民大学历史学院决定在北京举办本课程研修班。</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一、学院专业优势及简介</w:t>
      </w:r>
    </w:p>
    <w:p>
      <w:pPr>
        <w:rPr>
          <w:rFonts w:ascii="仿宋" w:hAnsi="仿宋" w:eastAsia="仿宋"/>
          <w:sz w:val="32"/>
          <w:szCs w:val="32"/>
        </w:rPr>
      </w:pPr>
      <w:r>
        <w:rPr>
          <w:rFonts w:hint="eastAsia" w:ascii="仿宋" w:hAnsi="仿宋" w:eastAsia="仿宋"/>
          <w:sz w:val="32"/>
          <w:szCs w:val="32"/>
        </w:rPr>
        <w:t>★师资强劲。中国人民大学历史学院目前拥有戴逸、孙家洲、包伟民、魏坚、黄兴涛、刘后滨、杨念群、夏明方、孟广林、韩树峰等一批知名学者。课程研修班师资力量全国排名第一。</w:t>
      </w:r>
    </w:p>
    <w:p>
      <w:pPr>
        <w:rPr>
          <w:rFonts w:ascii="仿宋" w:hAnsi="仿宋" w:eastAsia="仿宋"/>
          <w:sz w:val="32"/>
          <w:szCs w:val="32"/>
        </w:rPr>
      </w:pPr>
      <w:r>
        <w:rPr>
          <w:rFonts w:hint="eastAsia" w:ascii="仿宋" w:hAnsi="仿宋" w:eastAsia="仿宋"/>
          <w:sz w:val="32"/>
          <w:szCs w:val="32"/>
        </w:rPr>
        <w:t>★学科齐全。学院下设历史系、清史所、考古文博系，同时拥有</w:t>
      </w:r>
      <w:r>
        <w:rPr>
          <w:rFonts w:ascii="仿宋" w:hAnsi="仿宋" w:eastAsia="仿宋"/>
          <w:sz w:val="32"/>
          <w:szCs w:val="32"/>
        </w:rPr>
        <w:t>中国史、世界史和考古学</w:t>
      </w:r>
      <w:r>
        <w:rPr>
          <w:rFonts w:hint="eastAsia" w:ascii="仿宋" w:hAnsi="仿宋" w:eastAsia="仿宋"/>
          <w:sz w:val="32"/>
          <w:szCs w:val="32"/>
        </w:rPr>
        <w:t>三大</w:t>
      </w:r>
      <w:r>
        <w:rPr>
          <w:rFonts w:ascii="仿宋" w:hAnsi="仿宋" w:eastAsia="仿宋"/>
          <w:sz w:val="32"/>
          <w:szCs w:val="32"/>
        </w:rPr>
        <w:t>一级学科点</w:t>
      </w:r>
      <w:r>
        <w:rPr>
          <w:rFonts w:hint="eastAsia" w:ascii="仿宋" w:hAnsi="仿宋" w:eastAsia="仿宋"/>
          <w:sz w:val="32"/>
          <w:szCs w:val="32"/>
        </w:rPr>
        <w:t>，中国史八个二级学科建制完备，世界史学科设有世界古代史和世界近现代史教研室，考古文博系设有先秦考古、汉唐考古、宋元考古和文博科技四个教研室；</w:t>
      </w:r>
      <w:r>
        <w:rPr>
          <w:rFonts w:ascii="仿宋" w:hAnsi="仿宋" w:eastAsia="仿宋"/>
          <w:sz w:val="32"/>
          <w:szCs w:val="32"/>
        </w:rPr>
        <w:t>三个一级学科都拥有硕博士学位授予权</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★特色鲜明。</w:t>
      </w:r>
      <w:r>
        <w:rPr>
          <w:rFonts w:ascii="仿宋" w:hAnsi="仿宋" w:eastAsia="仿宋"/>
          <w:sz w:val="32"/>
          <w:szCs w:val="32"/>
        </w:rPr>
        <w:t>秦汉、唐宋</w:t>
      </w:r>
      <w:r>
        <w:rPr>
          <w:rFonts w:hint="eastAsia" w:ascii="仿宋" w:hAnsi="仿宋" w:eastAsia="仿宋"/>
          <w:sz w:val="32"/>
          <w:szCs w:val="32"/>
        </w:rPr>
        <w:t>、明清、</w:t>
      </w:r>
      <w:r>
        <w:rPr>
          <w:rFonts w:ascii="仿宋" w:hAnsi="仿宋" w:eastAsia="仿宋"/>
          <w:sz w:val="32"/>
          <w:szCs w:val="32"/>
        </w:rPr>
        <w:t>民国史研究力量雄厚</w:t>
      </w:r>
      <w:r>
        <w:rPr>
          <w:rFonts w:hint="eastAsia" w:ascii="仿宋" w:hAnsi="仿宋" w:eastAsia="仿宋"/>
          <w:sz w:val="32"/>
          <w:szCs w:val="32"/>
        </w:rPr>
        <w:t>，闻名学界；</w:t>
      </w:r>
      <w:r>
        <w:rPr>
          <w:rFonts w:ascii="仿宋" w:hAnsi="仿宋" w:eastAsia="仿宋"/>
          <w:sz w:val="32"/>
          <w:szCs w:val="32"/>
        </w:rPr>
        <w:t>专门史、历史文献学、历史地理、史学理论和史学史等二级学科，都具有各自优长。世界史侧重政治史</w:t>
      </w:r>
      <w:r>
        <w:rPr>
          <w:rFonts w:hint="eastAsia" w:ascii="仿宋" w:hAnsi="仿宋" w:eastAsia="仿宋"/>
          <w:sz w:val="32"/>
          <w:szCs w:val="32"/>
        </w:rPr>
        <w:t>、</w:t>
      </w:r>
      <w:r>
        <w:rPr>
          <w:rFonts w:ascii="仿宋" w:hAnsi="仿宋" w:eastAsia="仿宋"/>
          <w:sz w:val="32"/>
          <w:szCs w:val="32"/>
        </w:rPr>
        <w:t>宗教史等</w:t>
      </w:r>
      <w:r>
        <w:rPr>
          <w:rFonts w:hint="eastAsia" w:ascii="仿宋" w:hAnsi="仿宋" w:eastAsia="仿宋"/>
          <w:sz w:val="32"/>
          <w:szCs w:val="32"/>
        </w:rPr>
        <w:t>，</w:t>
      </w:r>
      <w:r>
        <w:rPr>
          <w:rFonts w:ascii="仿宋" w:hAnsi="仿宋" w:eastAsia="仿宋"/>
          <w:sz w:val="32"/>
          <w:szCs w:val="32"/>
        </w:rPr>
        <w:t>正广延海内外人才</w:t>
      </w:r>
      <w:r>
        <w:rPr>
          <w:rFonts w:hint="eastAsia" w:ascii="仿宋" w:hAnsi="仿宋" w:eastAsia="仿宋"/>
          <w:sz w:val="32"/>
          <w:szCs w:val="32"/>
        </w:rPr>
        <w:t>，</w:t>
      </w:r>
      <w:r>
        <w:rPr>
          <w:rFonts w:ascii="仿宋" w:hAnsi="仿宋" w:eastAsia="仿宋"/>
          <w:sz w:val="32"/>
          <w:szCs w:val="32"/>
        </w:rPr>
        <w:t>大力发展</w:t>
      </w:r>
      <w:r>
        <w:rPr>
          <w:rFonts w:hint="eastAsia" w:ascii="仿宋" w:hAnsi="仿宋" w:eastAsia="仿宋"/>
          <w:sz w:val="32"/>
          <w:szCs w:val="32"/>
        </w:rPr>
        <w:t>，有日新月异之势。</w:t>
      </w:r>
      <w:r>
        <w:rPr>
          <w:rFonts w:ascii="仿宋" w:hAnsi="仿宋" w:eastAsia="仿宋"/>
          <w:sz w:val="32"/>
          <w:szCs w:val="32"/>
        </w:rPr>
        <w:t>考古学科侧重北方民族考古，朝气蓬勃</w:t>
      </w:r>
      <w:r>
        <w:rPr>
          <w:rFonts w:hint="eastAsia" w:ascii="仿宋" w:hAnsi="仿宋" w:eastAsia="仿宋"/>
          <w:sz w:val="32"/>
          <w:szCs w:val="32"/>
        </w:rPr>
        <w:t>，</w:t>
      </w:r>
      <w:r>
        <w:rPr>
          <w:rFonts w:ascii="仿宋" w:hAnsi="仿宋" w:eastAsia="仿宋"/>
          <w:sz w:val="32"/>
          <w:szCs w:val="32"/>
        </w:rPr>
        <w:t>发展势头迅猛</w:t>
      </w:r>
      <w:r>
        <w:rPr>
          <w:rFonts w:hint="eastAsia" w:ascii="仿宋" w:hAnsi="仿宋" w:eastAsia="仿宋"/>
          <w:sz w:val="32"/>
          <w:szCs w:val="32"/>
        </w:rPr>
        <w:t>，</w:t>
      </w:r>
      <w:r>
        <w:rPr>
          <w:rFonts w:ascii="仿宋" w:hAnsi="仿宋" w:eastAsia="仿宋"/>
          <w:sz w:val="32"/>
          <w:szCs w:val="32"/>
        </w:rPr>
        <w:t>已经在中国考古学界异军突起。</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二、研究领域及课程设置</w:t>
      </w:r>
    </w:p>
    <w:p>
      <w:pPr>
        <w:ind w:firstLine="640" w:firstLineChars="200"/>
        <w:rPr>
          <w:rFonts w:ascii="仿宋" w:hAnsi="仿宋" w:eastAsia="仿宋"/>
          <w:sz w:val="24"/>
          <w:szCs w:val="24"/>
        </w:rPr>
      </w:pPr>
      <w:r>
        <w:rPr>
          <w:rFonts w:hint="eastAsia" w:ascii="仿宋" w:hAnsi="仿宋" w:eastAsia="仿宋"/>
          <w:sz w:val="32"/>
          <w:szCs w:val="32"/>
        </w:rPr>
        <w:t>根据学校和我院专业培养方案的要求，中国古代史开设课程如下：</w:t>
      </w: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center"/>
              <w:rPr>
                <w:rFonts w:ascii="仿宋" w:hAnsi="仿宋" w:eastAsia="仿宋"/>
                <w:b/>
                <w:sz w:val="24"/>
                <w:szCs w:val="24"/>
              </w:rPr>
            </w:pPr>
            <w:r>
              <w:rPr>
                <w:rFonts w:hint="eastAsia" w:ascii="仿宋" w:hAnsi="仿宋" w:eastAsia="仿宋"/>
                <w:b/>
                <w:sz w:val="24"/>
                <w:szCs w:val="24"/>
              </w:rPr>
              <w:t>研究方向领域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pStyle w:val="4"/>
              <w:rPr>
                <w:rFonts w:ascii="仿宋" w:hAnsi="仿宋" w:eastAsia="仿宋"/>
              </w:rPr>
            </w:pPr>
            <w:r>
              <w:rPr>
                <w:rFonts w:ascii="仿宋" w:hAnsi="仿宋" w:eastAsia="仿宋"/>
              </w:rPr>
              <w:t>先秦考古、汉唐考古、宋元考古、</w:t>
            </w:r>
            <w:r>
              <w:rPr>
                <w:rFonts w:hint="eastAsia" w:ascii="仿宋" w:hAnsi="仿宋" w:eastAsia="仿宋"/>
              </w:rPr>
              <w:t>北方民族考古研究、</w:t>
            </w:r>
            <w:r>
              <w:rPr>
                <w:rFonts w:ascii="仿宋" w:hAnsi="仿宋" w:eastAsia="仿宋"/>
              </w:rPr>
              <w:t>博物馆学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jc w:val="center"/>
              <w:rPr>
                <w:rFonts w:ascii="仿宋" w:hAnsi="仿宋" w:eastAsia="仿宋"/>
                <w:b/>
                <w:sz w:val="24"/>
                <w:szCs w:val="24"/>
              </w:rPr>
            </w:pPr>
            <w:r>
              <w:rPr>
                <w:rFonts w:hint="eastAsia" w:ascii="仿宋" w:hAnsi="仿宋" w:eastAsia="仿宋"/>
                <w:b/>
                <w:sz w:val="24"/>
                <w:szCs w:val="24"/>
              </w:rPr>
              <w:t>课程设置</w:t>
            </w:r>
          </w:p>
        </w:tc>
        <w:tc>
          <w:tcPr>
            <w:tcW w:w="7561" w:type="dxa"/>
          </w:tcPr>
          <w:p>
            <w:pPr>
              <w:jc w:val="center"/>
              <w:rPr>
                <w:rFonts w:ascii="仿宋" w:hAnsi="仿宋" w:eastAsia="仿宋"/>
                <w:b/>
                <w:sz w:val="24"/>
                <w:szCs w:val="24"/>
              </w:rPr>
            </w:pPr>
            <w:r>
              <w:rPr>
                <w:rFonts w:hint="eastAsia" w:ascii="仿宋" w:hAnsi="仿宋" w:eastAsia="仿宋"/>
                <w:b/>
                <w:sz w:val="24"/>
                <w:szCs w:val="24"/>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385" w:type="dxa"/>
            <w:vMerge w:val="restart"/>
            <w:vAlign w:val="center"/>
          </w:tcPr>
          <w:p>
            <w:pPr>
              <w:jc w:val="center"/>
              <w:rPr>
                <w:rFonts w:ascii="仿宋" w:hAnsi="仿宋" w:eastAsia="仿宋"/>
                <w:sz w:val="24"/>
                <w:szCs w:val="24"/>
              </w:rPr>
            </w:pPr>
            <w:r>
              <w:rPr>
                <w:rFonts w:hint="eastAsia" w:ascii="仿宋" w:hAnsi="仿宋" w:eastAsia="仿宋"/>
                <w:sz w:val="24"/>
                <w:szCs w:val="24"/>
              </w:rPr>
              <w:t>方法课</w:t>
            </w: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考古学方法论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考古论文写作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trPr>
        <w:tc>
          <w:tcPr>
            <w:tcW w:w="1385" w:type="dxa"/>
            <w:vMerge w:val="restart"/>
            <w:vAlign w:val="center"/>
          </w:tcPr>
          <w:p>
            <w:pPr>
              <w:jc w:val="center"/>
              <w:rPr>
                <w:rFonts w:ascii="仿宋" w:hAnsi="仿宋" w:eastAsia="仿宋"/>
                <w:sz w:val="24"/>
                <w:szCs w:val="24"/>
              </w:rPr>
            </w:pPr>
            <w:r>
              <w:rPr>
                <w:rFonts w:hint="eastAsia" w:ascii="仿宋" w:hAnsi="仿宋" w:eastAsia="仿宋"/>
                <w:sz w:val="24"/>
                <w:szCs w:val="24"/>
              </w:rPr>
              <w:t>学科基础课</w:t>
            </w: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中国考古学研究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考古文献研读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restart"/>
            <w:vAlign w:val="center"/>
          </w:tcPr>
          <w:p>
            <w:pPr>
              <w:jc w:val="center"/>
              <w:rPr>
                <w:rFonts w:ascii="仿宋" w:hAnsi="仿宋" w:eastAsia="仿宋"/>
                <w:sz w:val="24"/>
                <w:szCs w:val="24"/>
              </w:rPr>
            </w:pPr>
            <w:r>
              <w:rPr>
                <w:rFonts w:hint="eastAsia" w:ascii="仿宋" w:hAnsi="仿宋" w:eastAsia="仿宋"/>
                <w:sz w:val="24"/>
                <w:szCs w:val="24"/>
              </w:rPr>
              <w:t>公共课</w:t>
            </w: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中国特色社会主义理论与实践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专业外语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马克思主义与社会科学方法论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385" w:type="dxa"/>
            <w:vMerge w:val="restart"/>
            <w:vAlign w:val="center"/>
          </w:tcPr>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专业课</w:t>
            </w: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先秦考古研究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汉唐宋元考古研究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欧亚草原青铜时代考古研究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中亚考古研究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中西文化交流考古研究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restart"/>
            <w:vAlign w:val="center"/>
          </w:tcPr>
          <w:p>
            <w:pPr>
              <w:jc w:val="center"/>
              <w:rPr>
                <w:rFonts w:ascii="仿宋" w:hAnsi="仿宋" w:eastAsia="仿宋"/>
                <w:sz w:val="24"/>
                <w:szCs w:val="24"/>
              </w:rPr>
            </w:pPr>
            <w:r>
              <w:rPr>
                <w:rFonts w:hint="eastAsia" w:ascii="仿宋" w:hAnsi="仿宋" w:eastAsia="仿宋"/>
                <w:sz w:val="24"/>
                <w:szCs w:val="24"/>
              </w:rPr>
              <w:t>选修课</w:t>
            </w: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美术考古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hint="eastAsia" w:ascii="仿宋" w:hAnsi="仿宋" w:eastAsia="仿宋"/>
                <w:sz w:val="24"/>
                <w:szCs w:val="24"/>
              </w:rPr>
              <w:t>体质人类学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385" w:type="dxa"/>
            <w:vMerge w:val="continue"/>
            <w:vAlign w:val="center"/>
          </w:tcPr>
          <w:p>
            <w:pPr>
              <w:jc w:val="center"/>
              <w:rPr>
                <w:rFonts w:ascii="仿宋" w:hAnsi="仿宋" w:eastAsia="仿宋"/>
                <w:sz w:val="24"/>
                <w:szCs w:val="24"/>
              </w:rPr>
            </w:pPr>
          </w:p>
        </w:tc>
        <w:tc>
          <w:tcPr>
            <w:tcW w:w="7561" w:type="dxa"/>
            <w:vAlign w:val="center"/>
          </w:tcPr>
          <w:p>
            <w:pPr>
              <w:jc w:val="center"/>
              <w:rPr>
                <w:rFonts w:ascii="仿宋" w:hAnsi="仿宋" w:eastAsia="仿宋"/>
                <w:sz w:val="24"/>
                <w:szCs w:val="24"/>
              </w:rPr>
            </w:pPr>
            <w:r>
              <w:rPr>
                <w:rFonts w:ascii="仿宋" w:hAnsi="仿宋" w:eastAsia="仿宋"/>
                <w:sz w:val="24"/>
                <w:szCs w:val="24"/>
              </w:rPr>
              <w:t>当环境考古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385" w:type="dxa"/>
            <w:vMerge w:val="restart"/>
            <w:shd w:val="clear" w:color="auto" w:fill="auto"/>
            <w:vAlign w:val="center"/>
          </w:tcPr>
          <w:p>
            <w:pPr>
              <w:jc w:val="center"/>
              <w:rPr>
                <w:rFonts w:ascii="仿宋" w:hAnsi="仿宋" w:eastAsia="仿宋"/>
                <w:sz w:val="24"/>
                <w:szCs w:val="24"/>
              </w:rPr>
            </w:pPr>
            <w:r>
              <w:rPr>
                <w:rFonts w:hint="eastAsia" w:ascii="仿宋" w:hAnsi="仿宋" w:eastAsia="仿宋"/>
                <w:sz w:val="24"/>
                <w:szCs w:val="24"/>
              </w:rPr>
              <w:t>社会实践</w:t>
            </w:r>
          </w:p>
        </w:tc>
        <w:tc>
          <w:tcPr>
            <w:tcW w:w="7561" w:type="dxa"/>
            <w:shd w:val="clear" w:color="auto" w:fill="auto"/>
          </w:tcPr>
          <w:p>
            <w:pPr>
              <w:jc w:val="center"/>
              <w:rPr>
                <w:rFonts w:ascii="仿宋" w:hAnsi="仿宋" w:eastAsia="仿宋"/>
                <w:sz w:val="24"/>
                <w:szCs w:val="24"/>
              </w:rPr>
            </w:pPr>
            <w:r>
              <w:rPr>
                <w:rFonts w:ascii="仿宋" w:hAnsi="仿宋" w:eastAsia="仿宋"/>
                <w:sz w:val="24"/>
                <w:szCs w:val="24"/>
              </w:rPr>
              <w:t>考古发掘实习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385" w:type="dxa"/>
            <w:vMerge w:val="continue"/>
            <w:vAlign w:val="center"/>
          </w:tcPr>
          <w:p>
            <w:pPr>
              <w:jc w:val="center"/>
              <w:rPr>
                <w:rFonts w:ascii="仿宋" w:hAnsi="仿宋" w:eastAsia="仿宋"/>
                <w:sz w:val="24"/>
                <w:szCs w:val="24"/>
              </w:rPr>
            </w:pPr>
          </w:p>
        </w:tc>
        <w:tc>
          <w:tcPr>
            <w:tcW w:w="7561" w:type="dxa"/>
          </w:tcPr>
          <w:p>
            <w:pPr>
              <w:jc w:val="center"/>
              <w:rPr>
                <w:rFonts w:ascii="仿宋" w:hAnsi="仿宋" w:eastAsia="仿宋"/>
                <w:sz w:val="24"/>
                <w:szCs w:val="24"/>
              </w:rPr>
            </w:pPr>
            <w:r>
              <w:rPr>
                <w:rFonts w:ascii="仿宋" w:hAnsi="仿宋" w:eastAsia="仿宋"/>
                <w:sz w:val="24"/>
                <w:szCs w:val="24"/>
              </w:rPr>
              <w:t>考古调查实习</w:t>
            </w:r>
          </w:p>
        </w:tc>
      </w:tr>
    </w:tbl>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三、名师简介</w:t>
      </w:r>
    </w:p>
    <w:tbl>
      <w:tblPr>
        <w:tblStyle w:val="6"/>
        <w:tblW w:w="8906" w:type="dxa"/>
        <w:tblInd w:w="0"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1179"/>
        <w:gridCol w:w="2410"/>
        <w:gridCol w:w="5317"/>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179" w:type="dxa"/>
            <w:shd w:val="clear" w:color="auto" w:fill="auto"/>
            <w:tcMar>
              <w:top w:w="90" w:type="dxa"/>
              <w:left w:w="45" w:type="dxa"/>
              <w:bottom w:w="90" w:type="dxa"/>
              <w:right w:w="45" w:type="dxa"/>
            </w:tcMar>
            <w:vAlign w:val="center"/>
          </w:tcPr>
          <w:p>
            <w:pPr>
              <w:jc w:val="center"/>
              <w:rPr>
                <w:b/>
                <w:sz w:val="24"/>
                <w:szCs w:val="24"/>
              </w:rPr>
            </w:pPr>
            <w:r>
              <w:rPr>
                <w:rFonts w:hint="eastAsia"/>
                <w:b/>
                <w:sz w:val="24"/>
                <w:szCs w:val="24"/>
              </w:rPr>
              <w:t>名师</w:t>
            </w:r>
          </w:p>
        </w:tc>
        <w:tc>
          <w:tcPr>
            <w:tcW w:w="2410" w:type="dxa"/>
            <w:shd w:val="clear" w:color="auto" w:fill="auto"/>
            <w:tcMar>
              <w:top w:w="90" w:type="dxa"/>
              <w:left w:w="45" w:type="dxa"/>
              <w:bottom w:w="90" w:type="dxa"/>
              <w:right w:w="45" w:type="dxa"/>
            </w:tcMar>
            <w:vAlign w:val="center"/>
          </w:tcPr>
          <w:p>
            <w:pPr>
              <w:widowControl/>
              <w:spacing w:line="270" w:lineRule="atLeast"/>
              <w:jc w:val="center"/>
              <w:rPr>
                <w:b/>
                <w:sz w:val="24"/>
                <w:szCs w:val="24"/>
              </w:rPr>
            </w:pPr>
            <w:r>
              <w:rPr>
                <w:rFonts w:hint="eastAsia"/>
                <w:b/>
                <w:sz w:val="24"/>
                <w:szCs w:val="24"/>
              </w:rPr>
              <w:t>职称（行政兼职）</w:t>
            </w:r>
          </w:p>
        </w:tc>
        <w:tc>
          <w:tcPr>
            <w:tcW w:w="5317" w:type="dxa"/>
            <w:shd w:val="clear" w:color="auto" w:fill="auto"/>
            <w:tcMar>
              <w:top w:w="90" w:type="dxa"/>
              <w:left w:w="45" w:type="dxa"/>
              <w:bottom w:w="90" w:type="dxa"/>
              <w:right w:w="45" w:type="dxa"/>
            </w:tcMar>
            <w:vAlign w:val="center"/>
          </w:tcPr>
          <w:p>
            <w:pPr>
              <w:widowControl/>
              <w:spacing w:line="270" w:lineRule="atLeast"/>
              <w:jc w:val="center"/>
              <w:rPr>
                <w:b/>
                <w:sz w:val="24"/>
                <w:szCs w:val="24"/>
              </w:rPr>
            </w:pPr>
            <w:r>
              <w:rPr>
                <w:rFonts w:hint="eastAsia"/>
                <w:b/>
                <w:sz w:val="24"/>
                <w:szCs w:val="24"/>
              </w:rPr>
              <w:t>研究方向或领域</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179"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hint="eastAsia" w:ascii="仿宋" w:hAnsi="仿宋" w:eastAsia="仿宋"/>
                <w:sz w:val="24"/>
                <w:szCs w:val="24"/>
              </w:rPr>
              <w:t>魏坚</w:t>
            </w:r>
          </w:p>
        </w:tc>
        <w:tc>
          <w:tcPr>
            <w:tcW w:w="2410" w:type="dxa"/>
            <w:shd w:val="clear" w:color="auto" w:fill="auto"/>
            <w:tcMar>
              <w:top w:w="90" w:type="dxa"/>
              <w:left w:w="45" w:type="dxa"/>
              <w:bottom w:w="90" w:type="dxa"/>
              <w:right w:w="45" w:type="dxa"/>
            </w:tcMar>
            <w:vAlign w:val="center"/>
          </w:tcPr>
          <w:p>
            <w:pPr>
              <w:pStyle w:val="4"/>
              <w:rPr>
                <w:rFonts w:ascii="仿宋" w:hAnsi="仿宋" w:eastAsia="仿宋"/>
              </w:rPr>
            </w:pPr>
            <w:r>
              <w:rPr>
                <w:rFonts w:ascii="仿宋" w:hAnsi="仿宋" w:eastAsia="仿宋"/>
              </w:rPr>
              <w:t>历史学院考古文博系系主任</w:t>
            </w:r>
            <w:r>
              <w:rPr>
                <w:rFonts w:hint="eastAsia" w:ascii="仿宋" w:hAnsi="仿宋" w:eastAsia="仿宋"/>
              </w:rPr>
              <w:t>，</w:t>
            </w:r>
            <w:r>
              <w:rPr>
                <w:rFonts w:ascii="仿宋" w:hAnsi="仿宋" w:eastAsia="仿宋"/>
              </w:rPr>
              <w:t>教授</w:t>
            </w:r>
            <w:r>
              <w:rPr>
                <w:rFonts w:hint="eastAsia" w:ascii="仿宋" w:hAnsi="仿宋" w:eastAsia="仿宋"/>
              </w:rPr>
              <w:t>，</w:t>
            </w:r>
            <w:r>
              <w:rPr>
                <w:rFonts w:ascii="仿宋" w:hAnsi="仿宋" w:eastAsia="仿宋"/>
              </w:rPr>
              <w:t>博士生导师</w:t>
            </w:r>
            <w:r>
              <w:rPr>
                <w:rFonts w:hint="eastAsia" w:ascii="仿宋" w:hAnsi="仿宋" w:eastAsia="仿宋"/>
              </w:rPr>
              <w:t>，</w:t>
            </w:r>
            <w:r>
              <w:rPr>
                <w:rFonts w:ascii="仿宋" w:hAnsi="仿宋" w:eastAsia="仿宋"/>
                <w:color w:val="000000"/>
              </w:rPr>
              <w:t>国务院学位委员会考古学科评议组成员，兼任中国蒙古史学会副理事长、中国元史研究会副会长、中国岩画学会副会长、中国社会科学院古代文明研究中心客座研究员、台湾逢甲大学客座教授、内蒙古大学、内蒙古师范大学和吉林师范大学兼职教授等。</w:t>
            </w:r>
          </w:p>
        </w:tc>
        <w:tc>
          <w:tcPr>
            <w:tcW w:w="5317" w:type="dxa"/>
            <w:shd w:val="clear" w:color="auto" w:fill="auto"/>
            <w:tcMar>
              <w:top w:w="90" w:type="dxa"/>
              <w:left w:w="45" w:type="dxa"/>
              <w:bottom w:w="90" w:type="dxa"/>
              <w:right w:w="4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hAnsi="仿宋" w:eastAsia="仿宋" w:cs="宋体"/>
                <w:kern w:val="0"/>
                <w:sz w:val="24"/>
                <w:szCs w:val="24"/>
              </w:rPr>
            </w:pPr>
            <w:r>
              <w:rPr>
                <w:rFonts w:hint="eastAsia" w:ascii="仿宋" w:hAnsi="仿宋" w:eastAsia="仿宋" w:cs="宋体"/>
                <w:kern w:val="0"/>
                <w:sz w:val="24"/>
                <w:szCs w:val="24"/>
              </w:rPr>
              <w:t>多年从事阴山南北及陕晋冀北部地区考古学文化的发掘与研究，命名了“庙子沟文化”等四个考古学文化类型，建立起了这一区域史前文化的考古学文化编年体系。迄今共主持80多项考古发掘和专项调查项目，其中阴山南北战国秦汉长城调查、居延青铜时代遗址和汉代烽燧发掘、河套地区汉魏墓葬发掘和正蓝旗元上都考古发掘等，均取得丰硕成果。主持发掘的庙子沟新石器时代聚落遗址和金斯太旧石器时代洞穴遗址均被公布为全国重点文物保护单位，多年主持发掘、调查和申遗工作的元上都遗址，在2012年被列为世界文化遗产。</w:t>
            </w:r>
            <w:r>
              <w:rPr>
                <w:rFonts w:ascii="仿宋" w:hAnsi="仿宋" w:eastAsia="仿宋"/>
                <w:color w:val="000000"/>
                <w:sz w:val="24"/>
                <w:szCs w:val="24"/>
              </w:rPr>
              <w:t>出版《庙子沟与大坝沟》、《额济纳汉简》、《元上都》等学术专著8部，主编文物考古文集等8部，发表研究报告和论文百余篇，在国内外相关学术领域有着广泛的影响。</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321" w:hRule="atLeast"/>
        </w:trPr>
        <w:tc>
          <w:tcPr>
            <w:tcW w:w="1179"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hint="eastAsia" w:ascii="仿宋" w:hAnsi="仿宋" w:eastAsia="仿宋"/>
                <w:sz w:val="24"/>
                <w:szCs w:val="24"/>
              </w:rPr>
              <w:t>吕学明</w:t>
            </w:r>
          </w:p>
        </w:tc>
        <w:tc>
          <w:tcPr>
            <w:tcW w:w="2410"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hint="eastAsia" w:ascii="仿宋" w:hAnsi="仿宋" w:eastAsia="仿宋"/>
                <w:sz w:val="24"/>
                <w:szCs w:val="24"/>
              </w:rPr>
              <w:t>历史学院副院长、教授、博士生导师。</w:t>
            </w:r>
          </w:p>
        </w:tc>
        <w:tc>
          <w:tcPr>
            <w:tcW w:w="5317" w:type="dxa"/>
            <w:shd w:val="clear" w:color="auto" w:fill="auto"/>
            <w:tcMar>
              <w:top w:w="90" w:type="dxa"/>
              <w:left w:w="45" w:type="dxa"/>
              <w:bottom w:w="90" w:type="dxa"/>
              <w:right w:w="45" w:type="dxa"/>
            </w:tcMar>
            <w:vAlign w:val="center"/>
          </w:tcPr>
          <w:p>
            <w:pPr>
              <w:pStyle w:val="4"/>
              <w:ind w:firstLine="480" w:firstLineChars="200"/>
              <w:rPr>
                <w:rFonts w:ascii="仿宋" w:hAnsi="仿宋" w:eastAsia="仿宋"/>
              </w:rPr>
            </w:pPr>
            <w:r>
              <w:rPr>
                <w:rFonts w:ascii="仿宋" w:hAnsi="仿宋" w:eastAsia="仿宋"/>
              </w:rPr>
              <w:t>研究专业方向为</w:t>
            </w:r>
            <w:r>
              <w:rPr>
                <w:rFonts w:ascii="仿宋" w:hAnsi="仿宋" w:eastAsia="仿宋"/>
                <w:color w:val="000000"/>
              </w:rPr>
              <w:t>新石器考古、夏商周考古、中国古代青铜器</w:t>
            </w:r>
            <w:r>
              <w:rPr>
                <w:rFonts w:hint="eastAsia" w:ascii="仿宋" w:hAnsi="仿宋" w:eastAsia="仿宋"/>
                <w:color w:val="000000"/>
              </w:rPr>
              <w:t>。已出版</w:t>
            </w:r>
            <w:r>
              <w:rPr>
                <w:rFonts w:ascii="仿宋" w:hAnsi="仿宋" w:eastAsia="仿宋"/>
                <w:color w:val="000000"/>
              </w:rPr>
              <w:t>《大凌河上游流域红山文化区域性社会组织》</w:t>
            </w:r>
            <w:r>
              <w:rPr>
                <w:rFonts w:hint="eastAsia" w:ascii="仿宋" w:hAnsi="仿宋" w:eastAsia="仿宋"/>
                <w:color w:val="000000"/>
              </w:rPr>
              <w:t>、</w:t>
            </w:r>
            <w:r>
              <w:rPr>
                <w:rFonts w:ascii="仿宋" w:hAnsi="仿宋" w:eastAsia="仿宋"/>
                <w:color w:val="000000"/>
              </w:rPr>
              <w:t>《牛河梁——红山文化遗址发掘报告》</w:t>
            </w:r>
            <w:r>
              <w:rPr>
                <w:rFonts w:hint="eastAsia" w:ascii="仿宋" w:hAnsi="仿宋" w:eastAsia="仿宋"/>
                <w:color w:val="000000"/>
              </w:rPr>
              <w:t>、</w:t>
            </w:r>
            <w:r>
              <w:rPr>
                <w:rFonts w:ascii="仿宋" w:hAnsi="仿宋" w:eastAsia="仿宋"/>
                <w:color w:val="000000"/>
              </w:rPr>
              <w:t>《中国北方地区出土的先秦时期铜刀研究》</w:t>
            </w:r>
            <w:r>
              <w:rPr>
                <w:rFonts w:hint="eastAsia" w:ascii="仿宋" w:hAnsi="仿宋" w:eastAsia="仿宋"/>
                <w:color w:val="000000"/>
              </w:rPr>
              <w:t>等研究成果。</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179"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ascii="仿宋" w:hAnsi="仿宋" w:eastAsia="仿宋"/>
                <w:sz w:val="24"/>
                <w:szCs w:val="24"/>
              </w:rPr>
              <w:t>李梅田</w:t>
            </w:r>
          </w:p>
        </w:tc>
        <w:tc>
          <w:tcPr>
            <w:tcW w:w="2410"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ascii="仿宋" w:hAnsi="仿宋" w:eastAsia="仿宋"/>
                <w:sz w:val="24"/>
                <w:szCs w:val="24"/>
              </w:rPr>
              <w:t>历史学院教授</w:t>
            </w:r>
            <w:r>
              <w:rPr>
                <w:rFonts w:hint="eastAsia" w:ascii="仿宋" w:hAnsi="仿宋" w:eastAsia="仿宋"/>
                <w:sz w:val="24"/>
                <w:szCs w:val="24"/>
              </w:rPr>
              <w:t>，</w:t>
            </w:r>
            <w:r>
              <w:rPr>
                <w:rFonts w:ascii="仿宋" w:hAnsi="仿宋" w:eastAsia="仿宋"/>
                <w:sz w:val="24"/>
                <w:szCs w:val="24"/>
              </w:rPr>
              <w:t>博士生导师</w:t>
            </w:r>
            <w:r>
              <w:rPr>
                <w:rFonts w:hint="eastAsia" w:ascii="仿宋" w:hAnsi="仿宋" w:eastAsia="仿宋"/>
                <w:sz w:val="24"/>
                <w:szCs w:val="24"/>
              </w:rPr>
              <w:t>。</w:t>
            </w:r>
          </w:p>
        </w:tc>
        <w:tc>
          <w:tcPr>
            <w:tcW w:w="5317" w:type="dxa"/>
            <w:shd w:val="clear" w:color="auto" w:fill="auto"/>
            <w:tcMar>
              <w:top w:w="90" w:type="dxa"/>
              <w:left w:w="45" w:type="dxa"/>
              <w:bottom w:w="90" w:type="dxa"/>
              <w:right w:w="45" w:type="dxa"/>
            </w:tcMar>
            <w:vAlign w:val="center"/>
          </w:tcPr>
          <w:p>
            <w:pPr>
              <w:pStyle w:val="4"/>
              <w:rPr>
                <w:rFonts w:ascii="仿宋" w:hAnsi="仿宋" w:eastAsia="仿宋"/>
              </w:rPr>
            </w:pPr>
            <w:r>
              <w:rPr>
                <w:rFonts w:ascii="仿宋" w:hAnsi="仿宋" w:eastAsia="仿宋"/>
                <w:color w:val="000000"/>
              </w:rPr>
              <w:t>学术方向为汉唐考古，主要研究兴趣是汉唐时期墓葬、美术考古、陶瓷考古等。1996年起，先后主持了三峡工程、南水北调工程、三峡消落区的抢救性考古发掘10余项，2012年参与湖北“申遗”项目“唐崖土司城址”的考古发掘，任执行领队；参与的重要考古发掘还有河南郑州西山遗址（1996）等。已出版《中国古代物质文化史·魏晋南北朝》，《魏晋北朝墓葬的考古学研究》等成果</w:t>
            </w:r>
            <w:r>
              <w:rPr>
                <w:rFonts w:hint="eastAsia" w:ascii="仿宋" w:hAnsi="仿宋" w:eastAsia="仿宋"/>
                <w:color w:val="000000"/>
              </w:rPr>
              <w:t>。</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809" w:hRule="atLeast"/>
        </w:trPr>
        <w:tc>
          <w:tcPr>
            <w:tcW w:w="1179"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ascii="仿宋" w:hAnsi="仿宋" w:eastAsia="仿宋"/>
                <w:sz w:val="24"/>
                <w:szCs w:val="24"/>
              </w:rPr>
              <w:t>陈胜前</w:t>
            </w:r>
          </w:p>
        </w:tc>
        <w:tc>
          <w:tcPr>
            <w:tcW w:w="2410"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ascii="仿宋" w:hAnsi="仿宋" w:eastAsia="仿宋"/>
                <w:sz w:val="24"/>
                <w:szCs w:val="24"/>
              </w:rPr>
              <w:t>历史学院教授</w:t>
            </w:r>
            <w:r>
              <w:rPr>
                <w:rFonts w:hint="eastAsia" w:ascii="仿宋" w:hAnsi="仿宋" w:eastAsia="仿宋"/>
                <w:sz w:val="24"/>
                <w:szCs w:val="24"/>
              </w:rPr>
              <w:t>，</w:t>
            </w:r>
            <w:r>
              <w:rPr>
                <w:rFonts w:ascii="仿宋" w:hAnsi="仿宋" w:eastAsia="仿宋"/>
                <w:sz w:val="24"/>
                <w:szCs w:val="24"/>
              </w:rPr>
              <w:t>博士生导师</w:t>
            </w:r>
            <w:r>
              <w:rPr>
                <w:rFonts w:hint="eastAsia" w:ascii="仿宋" w:hAnsi="仿宋" w:eastAsia="仿宋"/>
                <w:sz w:val="24"/>
                <w:szCs w:val="24"/>
              </w:rPr>
              <w:t>。</w:t>
            </w:r>
          </w:p>
        </w:tc>
        <w:tc>
          <w:tcPr>
            <w:tcW w:w="5317" w:type="dxa"/>
            <w:shd w:val="clear" w:color="auto" w:fill="auto"/>
            <w:tcMar>
              <w:top w:w="90" w:type="dxa"/>
              <w:left w:w="45" w:type="dxa"/>
              <w:bottom w:w="90" w:type="dxa"/>
              <w:right w:w="45" w:type="dxa"/>
            </w:tcMar>
            <w:vAlign w:val="center"/>
          </w:tcPr>
          <w:p>
            <w:pPr>
              <w:pStyle w:val="4"/>
              <w:rPr>
                <w:rFonts w:ascii="仿宋" w:hAnsi="仿宋" w:eastAsia="仿宋"/>
              </w:rPr>
            </w:pPr>
            <w:r>
              <w:rPr>
                <w:rFonts w:ascii="仿宋" w:hAnsi="仿宋" w:eastAsia="仿宋"/>
                <w:color w:val="000000"/>
              </w:rPr>
              <w:t>主要研究兴 趣：考古学理论、考古学思想史、石器分析、遗址过程、史前艺术、史前考古、农业起源、考古教育等。先后参与发掘遗址十余处，主持发掘湖北郧县余嘴2号旧石 器地点，整理安徽东至华龙洞遗址发掘材料，分析内蒙古大山前、哈民忙哈等遗址出土石器，调查内蒙古鄂伦春人狩猎采集遗址等。已发表论文五十余篇，著有《史 前的现代化》、《思考考古学》；译有《追寻人类的过去》、《考古学的关键概念》。</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809" w:hRule="atLeast"/>
        </w:trPr>
        <w:tc>
          <w:tcPr>
            <w:tcW w:w="1179"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ascii="仿宋" w:hAnsi="仿宋" w:eastAsia="仿宋"/>
                <w:sz w:val="24"/>
                <w:szCs w:val="24"/>
              </w:rPr>
              <w:t>韩建业</w:t>
            </w:r>
          </w:p>
        </w:tc>
        <w:tc>
          <w:tcPr>
            <w:tcW w:w="2410"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ascii="仿宋" w:hAnsi="仿宋" w:eastAsia="仿宋"/>
                <w:sz w:val="24"/>
                <w:szCs w:val="24"/>
              </w:rPr>
              <w:t>历史学院教授</w:t>
            </w:r>
            <w:r>
              <w:rPr>
                <w:rFonts w:hint="eastAsia" w:ascii="仿宋" w:hAnsi="仿宋" w:eastAsia="仿宋"/>
                <w:sz w:val="24"/>
                <w:szCs w:val="24"/>
              </w:rPr>
              <w:t>，</w:t>
            </w:r>
            <w:r>
              <w:rPr>
                <w:rFonts w:ascii="仿宋" w:hAnsi="仿宋" w:eastAsia="仿宋"/>
                <w:sz w:val="24"/>
                <w:szCs w:val="24"/>
              </w:rPr>
              <w:t>博士生导师</w:t>
            </w:r>
            <w:r>
              <w:rPr>
                <w:rFonts w:hint="eastAsia" w:ascii="仿宋" w:hAnsi="仿宋" w:eastAsia="仿宋"/>
                <w:sz w:val="24"/>
                <w:szCs w:val="24"/>
              </w:rPr>
              <w:t>。</w:t>
            </w:r>
          </w:p>
        </w:tc>
        <w:tc>
          <w:tcPr>
            <w:tcW w:w="5317" w:type="dxa"/>
            <w:shd w:val="clear" w:color="auto" w:fill="auto"/>
            <w:tcMar>
              <w:top w:w="90" w:type="dxa"/>
              <w:left w:w="45" w:type="dxa"/>
              <w:bottom w:w="90" w:type="dxa"/>
              <w:right w:w="45" w:type="dxa"/>
            </w:tcMar>
            <w:vAlign w:val="center"/>
          </w:tcPr>
          <w:p>
            <w:pPr>
              <w:pStyle w:val="4"/>
              <w:rPr>
                <w:rFonts w:ascii="仿宋" w:hAnsi="仿宋" w:eastAsia="仿宋"/>
              </w:rPr>
            </w:pPr>
            <w:r>
              <w:rPr>
                <w:rFonts w:hint="eastAsia" w:ascii="仿宋" w:hAnsi="仿宋" w:eastAsia="仿宋"/>
              </w:rPr>
              <w:t>多年从事新石器时代和商周时期考古学研究，曾主持或参加河南驻马店杨庄、湖北天门石家河、内蒙古凉城板城和西白玉等遗址的发掘工作。对中国先秦时期的文化谱系、文化格局、聚落形态、人地关系、古史传说等进行过全面综合的研究，提出距今6000年前已经形成文化上的“早期中国”、距今5000年前已经出现贯通中西的“彩陶之路”，以及中国文明的三大模式等观点。主持完成2项国家社会科学基金项目，出版专著或考古发掘报告14部，发表学术论文近百篇，</w:t>
            </w:r>
          </w:p>
        </w:tc>
      </w:tr>
    </w:tbl>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四、教学办法</w:t>
      </w:r>
    </w:p>
    <w:p>
      <w:pPr>
        <w:ind w:firstLine="640" w:firstLineChars="200"/>
      </w:pPr>
      <w:r>
        <w:rPr>
          <w:rFonts w:hint="eastAsia" w:ascii="仿宋" w:hAnsi="仿宋" w:eastAsia="仿宋"/>
          <w:sz w:val="32"/>
          <w:szCs w:val="32"/>
        </w:rPr>
        <w:t>学习期间采取理论与实践相结合、课堂讲授与自学相结合的方式。面授时间为隔周周末，每门课程讲授约24个学时。</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五、学制</w:t>
      </w:r>
    </w:p>
    <w:p>
      <w:pPr>
        <w:ind w:firstLine="640" w:firstLineChars="200"/>
        <w:rPr>
          <w:rFonts w:ascii="仿宋" w:hAnsi="仿宋" w:eastAsia="仿宋"/>
          <w:sz w:val="32"/>
          <w:szCs w:val="32"/>
        </w:rPr>
      </w:pPr>
      <w:r>
        <w:rPr>
          <w:rFonts w:hint="eastAsia" w:ascii="仿宋" w:hAnsi="仿宋" w:eastAsia="仿宋"/>
          <w:sz w:val="32"/>
          <w:szCs w:val="32"/>
        </w:rPr>
        <w:t>2年</w:t>
      </w:r>
    </w:p>
    <w:p>
      <w:pPr>
        <w:rPr>
          <w:rFonts w:ascii="黑体" w:hAnsi="黑体" w:eastAsia="黑体" w:cs="宋体"/>
          <w:b/>
          <w:bCs/>
          <w:kern w:val="0"/>
          <w:sz w:val="30"/>
          <w:szCs w:val="30"/>
        </w:rPr>
      </w:pPr>
      <w:r>
        <w:rPr>
          <w:rFonts w:hint="eastAsia" w:ascii="黑体" w:hAnsi="黑体" w:eastAsia="黑体" w:cs="宋体"/>
          <w:b/>
          <w:bCs/>
          <w:kern w:val="0"/>
          <w:sz w:val="30"/>
          <w:szCs w:val="30"/>
        </w:rPr>
        <w:t>六、收费标准</w:t>
      </w:r>
    </w:p>
    <w:p>
      <w:pPr>
        <w:rPr>
          <w:rFonts w:ascii="仿宋" w:hAnsi="仿宋" w:eastAsia="仿宋"/>
          <w:color w:val="FF0000"/>
          <w:sz w:val="32"/>
          <w:szCs w:val="32"/>
        </w:rPr>
      </w:pPr>
      <w:r>
        <w:rPr>
          <w:rFonts w:hint="eastAsia" w:ascii="仿宋" w:hAnsi="仿宋" w:eastAsia="仿宋"/>
          <w:sz w:val="32"/>
          <w:szCs w:val="32"/>
        </w:rPr>
        <w:t>学费28000元/两年。学费一次性交清，研修班正式上课后，学员因故不能坚持学习，视作自动放弃学习，不退学费。申请硕士学位者，学位课程考试费及论文指导费、论文答辩费等按中国人民大学有关收费标准另行执行。</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七、联系方式</w:t>
      </w:r>
    </w:p>
    <w:p>
      <w:pPr>
        <w:rPr>
          <w:rFonts w:hint="eastAsia" w:ascii="仿宋" w:hAnsi="仿宋" w:eastAsia="仿宋"/>
          <w:sz w:val="32"/>
          <w:szCs w:val="32"/>
        </w:rPr>
      </w:pPr>
      <w:bookmarkStart w:id="0" w:name="_GoBack"/>
      <w:bookmarkEnd w:id="0"/>
      <w:r>
        <w:rPr>
          <w:rFonts w:hint="eastAsia" w:ascii="仿宋" w:hAnsi="仿宋" w:eastAsia="仿宋"/>
          <w:sz w:val="32"/>
          <w:szCs w:val="32"/>
        </w:rPr>
        <w:t>课程咨询：王老师、陈老师</w:t>
      </w:r>
    </w:p>
    <w:p>
      <w:pPr>
        <w:rPr>
          <w:rFonts w:hint="eastAsia" w:ascii="仿宋" w:hAnsi="仿宋" w:eastAsia="仿宋"/>
          <w:sz w:val="32"/>
          <w:szCs w:val="32"/>
          <w:lang w:eastAsia="zh-CN"/>
        </w:rPr>
      </w:pPr>
      <w:r>
        <w:rPr>
          <w:rFonts w:hint="eastAsia" w:ascii="仿宋" w:hAnsi="仿宋" w:eastAsia="仿宋"/>
          <w:sz w:val="32"/>
          <w:szCs w:val="32"/>
        </w:rPr>
        <w:t>电话： 010-59480917</w:t>
      </w:r>
    </w:p>
    <w:p>
      <w:pPr>
        <w:rPr>
          <w:rFonts w:ascii="仿宋" w:hAnsi="仿宋" w:eastAsia="仿宋"/>
          <w:sz w:val="32"/>
          <w:szCs w:val="32"/>
        </w:rPr>
      </w:pPr>
      <w:r>
        <w:rPr>
          <w:rFonts w:hint="eastAsia" w:ascii="仿宋" w:hAnsi="仿宋" w:eastAsia="仿宋"/>
          <w:sz w:val="32"/>
          <w:szCs w:val="32"/>
        </w:rPr>
        <w:t>报名地址：中国人民大学明德新闻楼0506室</w:t>
      </w:r>
    </w:p>
    <w:p>
      <w:pPr>
        <w:rPr>
          <w:rFonts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八、报名条件</w:t>
      </w:r>
    </w:p>
    <w:p>
      <w:pPr>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rPr>
          <w:rFonts w:ascii="仿宋" w:hAnsi="仿宋" w:eastAsia="仿宋"/>
          <w:sz w:val="32"/>
          <w:szCs w:val="32"/>
        </w:rPr>
      </w:pPr>
      <w:r>
        <w:rPr>
          <w:rFonts w:hint="eastAsia" w:ascii="仿宋" w:hAnsi="仿宋" w:eastAsia="仿宋"/>
          <w:sz w:val="32"/>
          <w:szCs w:val="32"/>
        </w:rPr>
        <w:t>2、具备大专以上学历者，可报名参加学习。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九、报名办法</w:t>
      </w:r>
    </w:p>
    <w:p>
      <w:pPr>
        <w:rPr>
          <w:rFonts w:ascii="仿宋" w:hAnsi="仿宋" w:eastAsia="仿宋"/>
          <w:sz w:val="32"/>
          <w:szCs w:val="32"/>
        </w:rPr>
      </w:pPr>
      <w:r>
        <w:rPr>
          <w:rFonts w:hint="eastAsia" w:ascii="仿宋" w:hAnsi="仿宋" w:eastAsia="仿宋"/>
          <w:sz w:val="32"/>
          <w:szCs w:val="32"/>
        </w:rPr>
        <w:t>1、报名时间：即日起开始报名</w:t>
      </w:r>
    </w:p>
    <w:p>
      <w:pPr>
        <w:rPr>
          <w:rFonts w:ascii="仿宋" w:hAnsi="仿宋" w:eastAsia="仿宋"/>
          <w:sz w:val="32"/>
          <w:szCs w:val="32"/>
        </w:rPr>
      </w:pPr>
      <w:r>
        <w:rPr>
          <w:rFonts w:hint="eastAsia" w:ascii="仿宋" w:hAnsi="仿宋" w:eastAsia="仿宋"/>
          <w:sz w:val="32"/>
          <w:szCs w:val="32"/>
        </w:rPr>
        <w:t>2、报名地点：中国人民大学明德新闻楼0506室</w:t>
      </w:r>
    </w:p>
    <w:p>
      <w:pPr>
        <w:rPr>
          <w:rFonts w:ascii="仿宋" w:hAnsi="仿宋" w:eastAsia="仿宋"/>
          <w:sz w:val="32"/>
          <w:szCs w:val="32"/>
        </w:rPr>
      </w:pPr>
      <w:r>
        <w:rPr>
          <w:rFonts w:hint="eastAsia" w:ascii="仿宋" w:hAnsi="仿宋" w:eastAsia="仿宋"/>
          <w:sz w:val="32"/>
          <w:szCs w:val="32"/>
        </w:rPr>
        <w:t>3、报名手续：</w:t>
      </w:r>
    </w:p>
    <w:p>
      <w:pPr>
        <w:rPr>
          <w:rFonts w:ascii="仿宋" w:hAnsi="仿宋" w:eastAsia="仿宋"/>
          <w:sz w:val="32"/>
          <w:szCs w:val="32"/>
        </w:rPr>
      </w:pPr>
      <w:r>
        <w:rPr>
          <w:rFonts w:hint="eastAsia" w:ascii="仿宋" w:hAnsi="仿宋" w:eastAsia="仿宋"/>
          <w:sz w:val="32"/>
          <w:szCs w:val="32"/>
        </w:rPr>
        <w:t>(1)到报名地点注册，登记报名。</w:t>
      </w:r>
    </w:p>
    <w:p>
      <w:pPr>
        <w:rPr>
          <w:rFonts w:ascii="仿宋" w:hAnsi="仿宋" w:eastAsia="仿宋"/>
          <w:sz w:val="32"/>
          <w:szCs w:val="32"/>
        </w:rPr>
      </w:pPr>
      <w:r>
        <w:rPr>
          <w:rFonts w:hint="eastAsia" w:ascii="仿宋" w:hAnsi="仿宋" w:eastAsia="仿宋"/>
          <w:sz w:val="32"/>
          <w:szCs w:val="32"/>
        </w:rPr>
        <w:t>(2)填写在职人员在职课程研修班报名登记表。</w:t>
      </w:r>
    </w:p>
    <w:p>
      <w:pPr>
        <w:rPr>
          <w:rFonts w:ascii="仿宋" w:hAnsi="仿宋" w:eastAsia="仿宋"/>
          <w:sz w:val="32"/>
          <w:szCs w:val="32"/>
        </w:rPr>
      </w:pPr>
      <w:r>
        <w:rPr>
          <w:rFonts w:hint="eastAsia" w:ascii="仿宋" w:hAnsi="仿宋" w:eastAsia="仿宋"/>
          <w:sz w:val="32"/>
          <w:szCs w:val="32"/>
        </w:rPr>
        <w:t>(3)本人最后学历证书和学位证书原件、复印件;身份证复印件。</w:t>
      </w:r>
    </w:p>
    <w:p>
      <w:pPr>
        <w:rPr>
          <w:rFonts w:ascii="仿宋" w:hAnsi="仿宋" w:eastAsia="仿宋"/>
          <w:sz w:val="32"/>
          <w:szCs w:val="32"/>
        </w:rPr>
      </w:pPr>
      <w:r>
        <w:rPr>
          <w:rFonts w:hint="eastAsia" w:ascii="仿宋" w:hAnsi="仿宋" w:eastAsia="仿宋"/>
          <w:sz w:val="32"/>
          <w:szCs w:val="32"/>
        </w:rPr>
        <w:t>(4)一寸同底彩色证件照1张。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十、学籍学习管理</w:t>
      </w:r>
    </w:p>
    <w:p>
      <w:pPr>
        <w:ind w:firstLine="640" w:firstLineChars="200"/>
        <w:rPr>
          <w:rFonts w:ascii="仿宋" w:hAnsi="仿宋" w:eastAsia="仿宋"/>
          <w:sz w:val="32"/>
          <w:szCs w:val="32"/>
        </w:rPr>
      </w:pPr>
      <w:r>
        <w:rPr>
          <w:rFonts w:hint="eastAsia" w:ascii="仿宋" w:hAnsi="仿宋" w:eastAsia="仿宋"/>
          <w:sz w:val="32"/>
          <w:szCs w:val="32"/>
        </w:rPr>
        <w:t>学员将在中国人民大学研究生院正式注册，由中国人民大学历史学院在职研究生管理办公室实施学生教学及管理工作，并由班主任负责组建学生班委会协同工作。</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十一、证书</w:t>
      </w:r>
    </w:p>
    <w:p>
      <w:pPr>
        <w:rPr>
          <w:rFonts w:ascii="仿宋" w:hAnsi="仿宋" w:eastAsia="仿宋"/>
          <w:sz w:val="32"/>
          <w:szCs w:val="32"/>
        </w:rPr>
      </w:pPr>
      <w:r>
        <w:rPr>
          <w:rFonts w:hint="eastAsia" w:ascii="仿宋" w:hAnsi="仿宋" w:eastAsia="仿宋"/>
          <w:sz w:val="32"/>
          <w:szCs w:val="32"/>
        </w:rPr>
        <w:t>1．学员完成课程设置中所规定的课程并考试（考核）成绩合格者即可结业。</w:t>
      </w:r>
      <w:r>
        <w:rPr>
          <w:rFonts w:hint="eastAsia" w:ascii="仿宋" w:hAnsi="仿宋" w:eastAsia="仿宋"/>
          <w:sz w:val="32"/>
          <w:szCs w:val="32"/>
        </w:rPr>
        <w:br w:type="textWrapping"/>
      </w:r>
      <w:r>
        <w:rPr>
          <w:rFonts w:hint="eastAsia" w:ascii="仿宋" w:hAnsi="仿宋" w:eastAsia="仿宋"/>
          <w:sz w:val="32"/>
          <w:szCs w:val="32"/>
        </w:rPr>
        <w:t>2.结业学员获加盖学校钢印和红章的《中国人民大学研修班结业证书》。</w:t>
      </w:r>
      <w:r>
        <w:rPr>
          <w:rFonts w:hint="eastAsia" w:ascii="仿宋" w:hAnsi="仿宋" w:eastAsia="仿宋"/>
          <w:sz w:val="32"/>
          <w:szCs w:val="32"/>
        </w:rPr>
        <w:br w:type="textWrapping"/>
      </w:r>
      <w:r>
        <w:rPr>
          <w:rFonts w:hint="eastAsia" w:ascii="仿宋" w:hAnsi="仿宋" w:eastAsia="仿宋"/>
          <w:sz w:val="32"/>
          <w:szCs w:val="32"/>
        </w:rPr>
        <w:t>3.符合申请硕士学位条件的学员（取得国家承认学士学位）可按我校有关规定申请中国人民大学历史学硕士学位。</w:t>
      </w:r>
    </w:p>
    <w:p>
      <w:pPr>
        <w:rPr>
          <w:rFonts w:ascii="仿宋" w:hAnsi="仿宋" w:eastAsia="仿宋"/>
          <w:sz w:val="32"/>
          <w:szCs w:val="32"/>
        </w:rPr>
      </w:pPr>
      <w:r>
        <w:rPr>
          <w:rFonts w:hint="eastAsia" w:ascii="仿宋" w:hAnsi="仿宋" w:eastAsia="仿宋"/>
          <w:sz w:val="32"/>
          <w:szCs w:val="32"/>
        </w:rPr>
        <w:t>4.该学位证书与统招生学位证书具有相同的法律效力与社会认可度。</w:t>
      </w:r>
    </w:p>
    <w:p>
      <w:pPr>
        <w:ind w:left="298" w:hanging="298" w:hangingChars="99"/>
        <w:rPr>
          <w:rFonts w:ascii="Tahoma" w:hAnsi="Tahoma" w:cs="Tahoma"/>
          <w:b/>
          <w:bCs/>
          <w:color w:val="000000"/>
          <w:szCs w:val="21"/>
          <w:shd w:val="clear" w:color="auto" w:fill="FFFFFF"/>
        </w:rPr>
      </w:pPr>
      <w:r>
        <w:rPr>
          <w:rFonts w:hint="eastAsia" w:ascii="黑体" w:hAnsi="黑体" w:eastAsia="黑体" w:cs="宋体"/>
          <w:b/>
          <w:bCs/>
          <w:color w:val="444444"/>
          <w:kern w:val="0"/>
          <w:sz w:val="30"/>
          <w:szCs w:val="30"/>
        </w:rPr>
        <w:t>十二、</w:t>
      </w:r>
      <w:r>
        <w:rPr>
          <w:rFonts w:hint="eastAsia" w:ascii="黑体" w:hAnsi="黑体" w:eastAsia="黑体" w:cs="宋体"/>
          <w:color w:val="444444"/>
          <w:kern w:val="0"/>
          <w:sz w:val="30"/>
          <w:szCs w:val="30"/>
        </w:rPr>
        <w:t>申请硕士学位及方法</w:t>
      </w:r>
    </w:p>
    <w:p>
      <w:pPr>
        <w:rPr>
          <w:rFonts w:hint="eastAsia" w:ascii="仿宋" w:hAnsi="仿宋" w:eastAsia="仿宋"/>
          <w:sz w:val="32"/>
          <w:szCs w:val="32"/>
        </w:rPr>
      </w:pPr>
      <w:r>
        <w:rPr>
          <w:rFonts w:hint="eastAsia" w:ascii="仿宋" w:hAnsi="仿宋" w:eastAsia="仿宋"/>
          <w:sz w:val="32"/>
          <w:szCs w:val="32"/>
        </w:rPr>
        <w:t>1.申请学位按照中国人民大学研究生院学位办公室关于以研究生毕业同等学力申请硕士学位的规定办理。所交学费不包括进入论文阶段后的费用。</w:t>
      </w:r>
      <w:r>
        <w:rPr>
          <w:rFonts w:hint="eastAsia" w:ascii="仿宋" w:hAnsi="仿宋" w:eastAsia="仿宋"/>
          <w:sz w:val="32"/>
          <w:szCs w:val="32"/>
        </w:rPr>
        <w:br w:type="textWrapping"/>
      </w:r>
      <w:r>
        <w:rPr>
          <w:rFonts w:hint="eastAsia" w:ascii="仿宋" w:hAnsi="仿宋" w:eastAsia="仿宋"/>
          <w:sz w:val="32"/>
          <w:szCs w:val="32"/>
        </w:rPr>
        <w:t>2.报名参加在职课程研修班学习的人员，可在报名时提出以研究生毕业同等学力申请硕士学位。</w:t>
      </w:r>
      <w:r>
        <w:rPr>
          <w:rFonts w:hint="eastAsia" w:ascii="仿宋" w:hAnsi="仿宋" w:eastAsia="仿宋"/>
          <w:sz w:val="32"/>
          <w:szCs w:val="32"/>
        </w:rPr>
        <w:br w:type="textWrapping"/>
      </w:r>
      <w:r>
        <w:rPr>
          <w:rFonts w:hint="eastAsia" w:ascii="仿宋" w:hAnsi="仿宋" w:eastAsia="仿宋"/>
          <w:sz w:val="32"/>
          <w:szCs w:val="32"/>
        </w:rPr>
        <w:t>3.国家统一组织的英语和学科综合水平考试，由我院协助学员到研究生院办理手续，费用按规定由学员交纳。</w:t>
      </w:r>
      <w:r>
        <w:rPr>
          <w:rFonts w:hint="eastAsia" w:ascii="仿宋" w:hAnsi="仿宋" w:eastAsia="仿宋"/>
          <w:sz w:val="32"/>
          <w:szCs w:val="32"/>
        </w:rPr>
        <w:br w:type="textWrapping"/>
      </w:r>
      <w:r>
        <w:rPr>
          <w:rFonts w:hint="eastAsia" w:ascii="仿宋" w:hAnsi="仿宋" w:eastAsia="仿宋"/>
          <w:sz w:val="32"/>
          <w:szCs w:val="32"/>
        </w:rPr>
        <w:t>4.我院将为学员安排教师进行学位论文的指导。</w:t>
      </w:r>
    </w:p>
    <w:p>
      <w:pPr>
        <w:rPr>
          <w:rFonts w:hint="eastAsia" w:ascii="仿宋" w:hAnsi="仿宋" w:eastAsia="仿宋"/>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报 名 登 记 表</w:t>
      </w:r>
    </w:p>
    <w:p>
      <w:pPr>
        <w:spacing w:before="156" w:beforeLines="50" w:after="156" w:afterLines="50" w:line="400" w:lineRule="exact"/>
        <w:rPr>
          <w:rFonts w:hint="eastAsia" w:ascii="宋体" w:hAnsi="宋体"/>
          <w:sz w:val="24"/>
        </w:rPr>
      </w:pPr>
      <w:r>
        <w:rPr>
          <w:rFonts w:hint="eastAsia" w:ascii="黑体" w:eastAsia="黑体"/>
          <w:b/>
          <w:sz w:val="32"/>
          <w:szCs w:val="32"/>
        </w:rPr>
        <w:t xml:space="preserve">                                   </w:t>
      </w:r>
      <w:r>
        <w:rPr>
          <w:rFonts w:hint="eastAsia" w:ascii="宋体" w:hAnsi="宋体"/>
          <w:sz w:val="24"/>
        </w:rPr>
        <w:t>报名时间：    年   月   日</w:t>
      </w:r>
    </w:p>
    <w:tbl>
      <w:tblPr>
        <w:tblStyle w:val="6"/>
        <w:tblW w:w="9835"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pPr>
        <w:rPr>
          <w:rFonts w:ascii="仿宋" w:hAnsi="仿宋" w:eastAsia="仿宋"/>
          <w:sz w:val="32"/>
          <w:szCs w:val="32"/>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61007A87" w:usb1="80000000" w:usb2="00000008" w:usb3="00000000" w:csb0="200101FF" w:csb1="20280000"/>
  </w:font>
  <w:font w:name="方正小标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3A4"/>
    <w:rsid w:val="00032F81"/>
    <w:rsid w:val="000330C2"/>
    <w:rsid w:val="000776CD"/>
    <w:rsid w:val="00094F80"/>
    <w:rsid w:val="000C4913"/>
    <w:rsid w:val="000E19C0"/>
    <w:rsid w:val="00110922"/>
    <w:rsid w:val="0011429C"/>
    <w:rsid w:val="00177AFE"/>
    <w:rsid w:val="00193E20"/>
    <w:rsid w:val="001A44E9"/>
    <w:rsid w:val="001B1C9C"/>
    <w:rsid w:val="001B3200"/>
    <w:rsid w:val="001B779A"/>
    <w:rsid w:val="0021104A"/>
    <w:rsid w:val="00213D3A"/>
    <w:rsid w:val="00222EBC"/>
    <w:rsid w:val="00224766"/>
    <w:rsid w:val="002448C0"/>
    <w:rsid w:val="00285175"/>
    <w:rsid w:val="002A5CA4"/>
    <w:rsid w:val="002B38C2"/>
    <w:rsid w:val="002C261C"/>
    <w:rsid w:val="002D1F93"/>
    <w:rsid w:val="002D7866"/>
    <w:rsid w:val="002E089C"/>
    <w:rsid w:val="00326E75"/>
    <w:rsid w:val="003303A4"/>
    <w:rsid w:val="003308F1"/>
    <w:rsid w:val="00333B2C"/>
    <w:rsid w:val="00355B84"/>
    <w:rsid w:val="00361C93"/>
    <w:rsid w:val="0039758C"/>
    <w:rsid w:val="003D5DCD"/>
    <w:rsid w:val="003F5D94"/>
    <w:rsid w:val="00416700"/>
    <w:rsid w:val="0042776C"/>
    <w:rsid w:val="00430FF6"/>
    <w:rsid w:val="00500E96"/>
    <w:rsid w:val="005819EB"/>
    <w:rsid w:val="005B4E07"/>
    <w:rsid w:val="005D5E73"/>
    <w:rsid w:val="0060352D"/>
    <w:rsid w:val="006503E4"/>
    <w:rsid w:val="00674098"/>
    <w:rsid w:val="006D0F42"/>
    <w:rsid w:val="00730A6A"/>
    <w:rsid w:val="007B5DDA"/>
    <w:rsid w:val="007D470E"/>
    <w:rsid w:val="007D6131"/>
    <w:rsid w:val="00824C76"/>
    <w:rsid w:val="00835261"/>
    <w:rsid w:val="008D27D2"/>
    <w:rsid w:val="008E20C7"/>
    <w:rsid w:val="00961CB2"/>
    <w:rsid w:val="009A6620"/>
    <w:rsid w:val="009B1F0E"/>
    <w:rsid w:val="009D27B7"/>
    <w:rsid w:val="009D31A1"/>
    <w:rsid w:val="00A14BF8"/>
    <w:rsid w:val="00A179F6"/>
    <w:rsid w:val="00A55EBA"/>
    <w:rsid w:val="00A72B89"/>
    <w:rsid w:val="00AB537E"/>
    <w:rsid w:val="00AE40D1"/>
    <w:rsid w:val="00AE5E76"/>
    <w:rsid w:val="00AF0E0A"/>
    <w:rsid w:val="00AF3FAB"/>
    <w:rsid w:val="00AF7900"/>
    <w:rsid w:val="00C00A1D"/>
    <w:rsid w:val="00C1786B"/>
    <w:rsid w:val="00C42E15"/>
    <w:rsid w:val="00C77900"/>
    <w:rsid w:val="00CD7577"/>
    <w:rsid w:val="00D40410"/>
    <w:rsid w:val="00E47591"/>
    <w:rsid w:val="00E93482"/>
    <w:rsid w:val="00ED0267"/>
    <w:rsid w:val="00ED6BDC"/>
    <w:rsid w:val="00ED7A73"/>
    <w:rsid w:val="00F61A0A"/>
    <w:rsid w:val="00F626C5"/>
    <w:rsid w:val="00FA1E90"/>
    <w:rsid w:val="00FB02AB"/>
    <w:rsid w:val="00FB0A45"/>
    <w:rsid w:val="00FB78A0"/>
    <w:rsid w:val="16A648AA"/>
    <w:rsid w:val="2AA8130F"/>
    <w:rsid w:val="3A0E4802"/>
    <w:rsid w:val="60D020A8"/>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HTML 预设格式 Char"/>
    <w:basedOn w:val="5"/>
    <w:link w:val="4"/>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438</Words>
  <Characters>2501</Characters>
  <Lines>20</Lines>
  <Paragraphs>5</Paragraphs>
  <ScaleCrop>false</ScaleCrop>
  <LinksUpToDate>false</LinksUpToDate>
  <CharactersWithSpaces>2934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2016-04-13T06:54:00Z</dcterms:created>
  <dc:creator>admin</dc:creator>
  <cp:lastModifiedBy>Administrator</cp:lastModifiedBy>
  <dcterms:modified xsi:type="dcterms:W3CDTF">2017-03-08T02:40:31Z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