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中国传媒大学传媒经济学专业</w:t>
      </w:r>
    </w:p>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高级课程进修班招生简章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专业突出。中国传媒大学经济与管理学院，以经济学和管理学两大学科门类为基础，多学科交叉融合，以传媒经济、媒体管理与文化产业为特色，培养具有创新精神和实践能力的高级管理人才，同时也是传媒经济、媒体管理与文化产业的学术研究中心。</w:t>
      </w:r>
    </w:p>
    <w:p>
      <w:pPr>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师资多元。中国传媒大学经济与管理学院源于1985年成立的管理系，具有一批在创新管理、文化产业、媒体运营与决策等领域均有丰富业界经验和教学经验的专家教授，其中教授15人，博士生导师6人，承担多项国家级、省部级重要课题，能够实现教学、科研和行业应用的紧密结合。另外还聘请政府领导、业界精英和国内外知名学者、权威专家作为我院的兼职教授。</w:t>
      </w:r>
    </w:p>
    <w:p>
      <w:pPr>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平台深阔。学院着力打造国际、国内各类教学平台。与英国威斯敏斯特大学</w:t>
      </w:r>
      <w:r>
        <w:fldChar w:fldCharType="begin"/>
      </w:r>
      <w:r>
        <w:instrText xml:space="preserve"> HYPERLINK "http://sem.cuc.edu.cn/html/2016/hezuoxiangmu_0112/679.html" </w:instrText>
      </w:r>
      <w:r>
        <w:fldChar w:fldCharType="separate"/>
      </w:r>
      <w:r>
        <w:rPr>
          <w:rFonts w:hint="eastAsia" w:ascii="仿宋" w:hAnsi="仿宋" w:eastAsia="仿宋"/>
          <w:b/>
          <w:bCs/>
          <w:sz w:val="32"/>
          <w:szCs w:val="32"/>
        </w:rPr>
        <w:t>联合开展“</w:t>
      </w:r>
      <w:r>
        <w:rPr>
          <w:rFonts w:ascii="仿宋" w:hAnsi="仿宋" w:eastAsia="仿宋"/>
          <w:b/>
          <w:bCs/>
          <w:sz w:val="32"/>
          <w:szCs w:val="32"/>
        </w:rPr>
        <w:t>国际媒体商务硕士</w:t>
      </w:r>
      <w:r>
        <w:rPr>
          <w:rFonts w:ascii="仿宋" w:hAnsi="仿宋" w:eastAsia="仿宋"/>
          <w:b/>
          <w:bCs/>
          <w:sz w:val="32"/>
          <w:szCs w:val="32"/>
        </w:rPr>
        <w:fldChar w:fldCharType="end"/>
      </w:r>
      <w:r>
        <w:rPr>
          <w:rFonts w:hint="eastAsia" w:ascii="仿宋" w:hAnsi="仿宋" w:eastAsia="仿宋"/>
          <w:b/>
          <w:bCs/>
          <w:sz w:val="32"/>
          <w:szCs w:val="32"/>
        </w:rPr>
        <w:t>”项目，与美国密苏里州立大学合作“工商管理硕士”项目，并与IBM、SAP等国际知名公司签署合作协议，与中央电视台、北京电视台及各地方电视台均保持密切联系。各类合作为人才培养提供了国际化、多元化的平台。</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为适应改革开放和社会经济发展对高层次人才的需要，提高在职人员的业务素质，中国传媒大学经济与管理学院决定在北京举办</w:t>
      </w:r>
      <w:r>
        <w:rPr>
          <w:rFonts w:hint="eastAsia" w:ascii="仿宋" w:hAnsi="仿宋" w:eastAsia="仿宋"/>
          <w:b/>
          <w:sz w:val="32"/>
          <w:szCs w:val="32"/>
        </w:rPr>
        <w:t>新媒体与传媒经济管理方向</w:t>
      </w:r>
      <w:r>
        <w:rPr>
          <w:rFonts w:hint="eastAsia" w:ascii="仿宋" w:hAnsi="仿宋" w:eastAsia="仿宋"/>
          <w:sz w:val="32"/>
          <w:szCs w:val="32"/>
        </w:rPr>
        <w:t>高级课程进修班。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二、培养方向与培养目标</w:t>
      </w:r>
    </w:p>
    <w:p>
      <w:pPr>
        <w:ind w:firstLine="640" w:firstLineChars="200"/>
        <w:rPr>
          <w:rFonts w:ascii="仿宋" w:hAnsi="仿宋" w:eastAsia="仿宋"/>
          <w:sz w:val="32"/>
          <w:szCs w:val="32"/>
        </w:rPr>
      </w:pPr>
      <w:r>
        <w:rPr>
          <w:rFonts w:hint="eastAsia" w:ascii="仿宋" w:hAnsi="仿宋" w:eastAsia="仿宋"/>
          <w:sz w:val="32"/>
          <w:szCs w:val="32"/>
        </w:rPr>
        <w:t>1．旨在推动我国文化传媒事业大发展、大繁荣，使传媒实践与理论高效融合，开阔传媒人才视野，提升传媒理论与素养，提高传媒人才创新能力。</w:t>
      </w:r>
    </w:p>
    <w:p>
      <w:pPr>
        <w:ind w:firstLine="640" w:firstLineChars="200"/>
        <w:rPr>
          <w:rFonts w:ascii="仿宋" w:hAnsi="仿宋" w:eastAsia="仿宋"/>
          <w:sz w:val="32"/>
          <w:szCs w:val="32"/>
        </w:rPr>
      </w:pPr>
      <w:r>
        <w:rPr>
          <w:rFonts w:hint="eastAsia" w:ascii="仿宋" w:hAnsi="仿宋" w:eastAsia="仿宋"/>
          <w:sz w:val="32"/>
          <w:szCs w:val="32"/>
        </w:rPr>
        <w:t>2．以经济的视角、科学的管理手段结合前沿的媒体技术，掌握传媒产业战略要诀及提升高级管理水平，具备一流的信息管理、系统分析、工程管理技术能力，专注于培养广播电视行业、国家各级管理部门、信息产业系统、传媒公司所亟需的高素质复合型人才。</w:t>
      </w:r>
    </w:p>
    <w:p>
      <w:pPr>
        <w:ind w:firstLine="640" w:firstLineChars="200"/>
        <w:rPr>
          <w:rFonts w:ascii="仿宋" w:hAnsi="仿宋" w:eastAsia="仿宋"/>
          <w:sz w:val="32"/>
          <w:szCs w:val="32"/>
        </w:rPr>
      </w:pPr>
      <w:r>
        <w:rPr>
          <w:rFonts w:hint="eastAsia" w:ascii="仿宋" w:hAnsi="仿宋" w:eastAsia="仿宋"/>
          <w:sz w:val="32"/>
          <w:szCs w:val="32"/>
        </w:rPr>
        <w:t>天下英才，汇聚中传。本班除了为广大传媒文化工作从业者或有志于投身传媒文化领域的兴趣爱好者提供一个提升的机会，亦将为各界传媒精英提供一个相互学习、相互合作、激活思想、开拓创新人际关系的平台。</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三、课程设置</w:t>
      </w:r>
    </w:p>
    <w:p>
      <w:pPr>
        <w:ind w:firstLine="640" w:firstLineChars="200"/>
        <w:rPr>
          <w:rFonts w:ascii="仿宋" w:hAnsi="仿宋" w:eastAsia="仿宋"/>
          <w:sz w:val="32"/>
          <w:szCs w:val="32"/>
        </w:rPr>
      </w:pPr>
      <w:r>
        <w:rPr>
          <w:rFonts w:hint="eastAsia" w:ascii="仿宋" w:hAnsi="仿宋" w:eastAsia="仿宋"/>
          <w:sz w:val="32"/>
          <w:szCs w:val="32"/>
        </w:rPr>
        <w:t>根据我院培养方案要求，开设课程包括：</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jc w:val="center"/>
              <w:rPr>
                <w:rFonts w:ascii="黑体" w:hAnsi="黑体" w:eastAsia="黑体" w:cs="宋体"/>
                <w:bCs/>
                <w:color w:val="444444"/>
                <w:kern w:val="0"/>
                <w:sz w:val="24"/>
                <w:szCs w:val="24"/>
              </w:rPr>
            </w:pPr>
            <w:r>
              <w:rPr>
                <w:rFonts w:hint="eastAsia" w:ascii="黑体" w:hAnsi="黑体" w:eastAsia="黑体" w:cs="宋体"/>
                <w:bCs/>
                <w:color w:val="444444"/>
                <w:kern w:val="0"/>
                <w:sz w:val="24"/>
                <w:szCs w:val="24"/>
              </w:rPr>
              <w:t>课程类别</w:t>
            </w:r>
          </w:p>
        </w:tc>
        <w:tc>
          <w:tcPr>
            <w:tcW w:w="6711" w:type="dxa"/>
            <w:vAlign w:val="center"/>
          </w:tcPr>
          <w:p>
            <w:pPr>
              <w:jc w:val="center"/>
              <w:rPr>
                <w:rFonts w:ascii="黑体" w:hAnsi="黑体" w:eastAsia="黑体" w:cs="宋体"/>
                <w:bCs/>
                <w:color w:val="444444"/>
                <w:kern w:val="0"/>
                <w:sz w:val="24"/>
                <w:szCs w:val="24"/>
              </w:rPr>
            </w:pPr>
            <w:r>
              <w:rPr>
                <w:rFonts w:hint="eastAsia" w:ascii="黑体" w:hAnsi="黑体" w:eastAsia="黑体" w:cs="宋体"/>
                <w:bCs/>
                <w:color w:val="444444"/>
                <w:kern w:val="0"/>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公共课</w:t>
            </w: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管理学原理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消费者行为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IT驱动的商业创新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创新管理与实践设计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公共关系与危机管理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文化传媒政策研读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传媒经济学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文化产业投融资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基于财务分析基础上的决策选择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媒介经营与管理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方向课</w:t>
            </w: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媒体战略管理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新媒体产业运营管理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传媒经济数据统计分析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新媒体企业商业模式分析</w:t>
            </w:r>
          </w:p>
        </w:tc>
      </w:tr>
    </w:tbl>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四、学制与学习方式</w:t>
      </w:r>
    </w:p>
    <w:p>
      <w:pPr>
        <w:ind w:firstLine="640" w:firstLineChars="200"/>
        <w:rPr>
          <w:rFonts w:ascii="仿宋" w:hAnsi="仿宋" w:eastAsia="仿宋"/>
          <w:sz w:val="32"/>
          <w:szCs w:val="32"/>
        </w:rPr>
      </w:pPr>
      <w:r>
        <w:rPr>
          <w:rFonts w:hint="eastAsia" w:ascii="仿宋" w:hAnsi="仿宋" w:eastAsia="仿宋"/>
          <w:sz w:val="32"/>
          <w:szCs w:val="32"/>
        </w:rPr>
        <w:t>学制一年，采取理论与实践相结合、集中讲授与自学相结合的学习方式。集中授课定期在中国传媒大学进行。</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五、招生对象</w:t>
      </w:r>
    </w:p>
    <w:p>
      <w:pPr>
        <w:ind w:firstLine="640" w:firstLineChars="200"/>
        <w:rPr>
          <w:rFonts w:ascii="仿宋" w:hAnsi="仿宋" w:eastAsia="仿宋"/>
          <w:sz w:val="32"/>
          <w:szCs w:val="32"/>
        </w:rPr>
      </w:pPr>
      <w:r>
        <w:rPr>
          <w:rFonts w:hint="eastAsia" w:ascii="仿宋" w:hAnsi="仿宋" w:eastAsia="仿宋"/>
          <w:sz w:val="32"/>
          <w:szCs w:val="32"/>
        </w:rPr>
        <w:t>1、各级广播、电视台、新闻等传媒领域的记者、编辑、编导。</w:t>
      </w:r>
    </w:p>
    <w:p>
      <w:pPr>
        <w:ind w:firstLine="640" w:firstLineChars="200"/>
        <w:rPr>
          <w:rFonts w:ascii="仿宋" w:hAnsi="仿宋" w:eastAsia="仿宋"/>
          <w:sz w:val="32"/>
          <w:szCs w:val="32"/>
        </w:rPr>
      </w:pPr>
      <w:r>
        <w:rPr>
          <w:rFonts w:hint="eastAsia" w:ascii="仿宋" w:hAnsi="仿宋" w:eastAsia="仿宋"/>
          <w:sz w:val="32"/>
          <w:szCs w:val="32"/>
        </w:rPr>
        <w:t>2、各文化或传媒领域企事业单位从业人员。</w:t>
      </w:r>
    </w:p>
    <w:p>
      <w:pPr>
        <w:ind w:firstLine="640" w:firstLineChars="200"/>
        <w:rPr>
          <w:rFonts w:ascii="仿宋" w:hAnsi="仿宋" w:eastAsia="仿宋"/>
          <w:sz w:val="32"/>
          <w:szCs w:val="32"/>
        </w:rPr>
      </w:pPr>
      <w:r>
        <w:rPr>
          <w:rFonts w:hint="eastAsia" w:ascii="仿宋" w:hAnsi="仿宋" w:eastAsia="仿宋"/>
          <w:sz w:val="32"/>
          <w:szCs w:val="32"/>
        </w:rPr>
        <w:t>3、文化传播机构、节目制作公司、新媒体网站等相关从业人员。</w:t>
      </w:r>
    </w:p>
    <w:p>
      <w:pPr>
        <w:ind w:firstLine="640" w:firstLineChars="200"/>
        <w:rPr>
          <w:rFonts w:ascii="仿宋" w:hAnsi="仿宋" w:eastAsia="仿宋"/>
          <w:sz w:val="32"/>
          <w:szCs w:val="32"/>
        </w:rPr>
      </w:pPr>
      <w:r>
        <w:rPr>
          <w:rFonts w:hint="eastAsia" w:ascii="仿宋" w:hAnsi="仿宋" w:eastAsia="仿宋"/>
          <w:sz w:val="32"/>
          <w:szCs w:val="32"/>
        </w:rPr>
        <w:t>4、有志于投身新媒体、文化传播、广告制作等传媒新兴市场的人员。</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六、学习费用</w:t>
      </w:r>
    </w:p>
    <w:p>
      <w:pPr>
        <w:ind w:firstLine="640" w:firstLineChars="200"/>
        <w:rPr>
          <w:rFonts w:ascii="仿宋" w:hAnsi="仿宋" w:eastAsia="仿宋"/>
          <w:sz w:val="32"/>
          <w:szCs w:val="32"/>
        </w:rPr>
      </w:pPr>
      <w:r>
        <w:rPr>
          <w:rFonts w:hint="eastAsia" w:ascii="仿宋" w:hAnsi="仿宋" w:eastAsia="仿宋"/>
          <w:sz w:val="32"/>
          <w:szCs w:val="32"/>
        </w:rPr>
        <w:t>进修班学费一年共计18000元，一次性交清，书本资料费按实际费用收取。学习期间的食宿费、差旅费由学员本人自理。</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ind w:firstLine="640" w:firstLineChars="200"/>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ind w:firstLine="640" w:firstLineChars="200"/>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ind w:firstLine="640" w:firstLineChars="200"/>
        <w:rPr>
          <w:rFonts w:ascii="仿宋" w:hAnsi="仿宋" w:eastAsia="仿宋"/>
          <w:sz w:val="32"/>
          <w:szCs w:val="32"/>
        </w:rPr>
      </w:pPr>
      <w:r>
        <w:rPr>
          <w:rFonts w:hint="eastAsia" w:ascii="仿宋" w:hAnsi="仿宋" w:eastAsia="仿宋"/>
          <w:sz w:val="32"/>
          <w:szCs w:val="32"/>
        </w:rPr>
        <w:t>1.填写中国传媒大学经管学院高级课程进修班报名登记表。</w:t>
      </w:r>
    </w:p>
    <w:p>
      <w:pPr>
        <w:ind w:firstLine="640" w:firstLineChars="200"/>
        <w:rPr>
          <w:rFonts w:ascii="仿宋" w:hAnsi="仿宋" w:eastAsia="仿宋"/>
          <w:sz w:val="32"/>
          <w:szCs w:val="32"/>
        </w:rPr>
      </w:pPr>
      <w:r>
        <w:rPr>
          <w:rFonts w:hint="eastAsia" w:ascii="仿宋" w:hAnsi="仿宋" w:eastAsia="仿宋"/>
          <w:sz w:val="32"/>
          <w:szCs w:val="32"/>
        </w:rPr>
        <w:t>2.本人最后学历证书和学位证书复印件1份，本人身份证复印件1份。</w:t>
      </w:r>
    </w:p>
    <w:p>
      <w:pPr>
        <w:ind w:firstLine="640" w:firstLineChars="200"/>
        <w:rPr>
          <w:rFonts w:ascii="仿宋" w:hAnsi="仿宋" w:eastAsia="仿宋"/>
          <w:sz w:val="32"/>
          <w:szCs w:val="32"/>
        </w:rPr>
      </w:pPr>
      <w:r>
        <w:rPr>
          <w:rFonts w:hint="eastAsia" w:ascii="仿宋" w:hAnsi="仿宋" w:eastAsia="仿宋"/>
          <w:sz w:val="32"/>
          <w:szCs w:val="32"/>
        </w:rPr>
        <w:t>3.交4张2寸近期免冠证件照片（蓝底），及本人近期白底电子版免冠证件照（注册时使用）。</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lang w:eastAsia="zh-CN"/>
        </w:rPr>
      </w:pPr>
      <w:r>
        <w:rPr>
          <w:rFonts w:hint="eastAsia" w:ascii="仿宋" w:hAnsi="仿宋" w:eastAsia="仿宋"/>
          <w:sz w:val="32"/>
          <w:szCs w:val="32"/>
        </w:rPr>
        <w:t>电话： 010-594</w:t>
      </w:r>
      <w:bookmarkStart w:id="0" w:name="_GoBack"/>
      <w:bookmarkEnd w:id="0"/>
      <w:r>
        <w:rPr>
          <w:rFonts w:hint="eastAsia" w:ascii="仿宋" w:hAnsi="仿宋" w:eastAsia="仿宋"/>
          <w:sz w:val="32"/>
          <w:szCs w:val="32"/>
        </w:rPr>
        <w:t>80917</w:t>
      </w:r>
    </w:p>
    <w:p>
      <w:pPr>
        <w:rPr>
          <w:rFonts w:hint="eastAsia" w:ascii="仿宋" w:hAnsi="仿宋" w:eastAsia="仿宋"/>
          <w:sz w:val="32"/>
          <w:szCs w:val="32"/>
        </w:rPr>
      </w:pPr>
      <w:r>
        <w:rPr>
          <w:rFonts w:hint="eastAsia" w:ascii="仿宋" w:hAnsi="仿宋" w:eastAsia="仿宋"/>
          <w:sz w:val="32"/>
          <w:szCs w:val="32"/>
        </w:rPr>
        <w:t>报名地址：中国传媒大学经管学部217办公室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十、开学时间</w:t>
      </w:r>
    </w:p>
    <w:p>
      <w:pPr>
        <w:rPr>
          <w:rFonts w:ascii="仿宋" w:hAnsi="仿宋" w:eastAsia="仿宋"/>
          <w:sz w:val="32"/>
          <w:szCs w:val="32"/>
        </w:rPr>
      </w:pPr>
      <w:r>
        <w:rPr>
          <w:rFonts w:hint="eastAsia" w:ascii="仿宋" w:hAnsi="仿宋" w:eastAsia="仿宋"/>
          <w:sz w:val="32"/>
          <w:szCs w:val="32"/>
        </w:rPr>
        <w:t>报名时间：即日起开始报名</w:t>
      </w:r>
    </w:p>
    <w:p>
      <w:pPr>
        <w:rPr>
          <w:rFonts w:ascii="仿宋" w:hAnsi="仿宋" w:eastAsia="仿宋"/>
          <w:sz w:val="32"/>
          <w:szCs w:val="32"/>
        </w:rPr>
      </w:pPr>
      <w:r>
        <w:rPr>
          <w:rFonts w:hint="eastAsia" w:ascii="仿宋" w:hAnsi="仿宋" w:eastAsia="仿宋"/>
          <w:sz w:val="32"/>
          <w:szCs w:val="32"/>
        </w:rPr>
        <w:t>开学上课时间：2017年春季开课，具体时间根据学院安排。</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十一、学习管理</w:t>
      </w:r>
    </w:p>
    <w:p>
      <w:pPr>
        <w:ind w:firstLine="640" w:firstLineChars="200"/>
        <w:rPr>
          <w:rFonts w:ascii="仿宋" w:hAnsi="仿宋" w:eastAsia="仿宋"/>
          <w:sz w:val="32"/>
          <w:szCs w:val="32"/>
        </w:rPr>
      </w:pPr>
      <w:r>
        <w:rPr>
          <w:rFonts w:hint="eastAsia" w:ascii="仿宋" w:hAnsi="仿宋" w:eastAsia="仿宋"/>
          <w:sz w:val="32"/>
          <w:szCs w:val="32"/>
        </w:rPr>
        <w:t>学员在中国传媒大学经济与管理学院正式报名后，由中国传媒大学经管学院实施学生教学及管理工作，并由班主任负责组建学生班委会协同工作。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十二、证书</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学员完成课程设置中所规定的课程并考试（考核）成绩合格者即可结业。</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结业学员获</w:t>
      </w:r>
      <w:r>
        <w:rPr>
          <w:rFonts w:hint="eastAsia" w:ascii="仿宋" w:hAnsi="仿宋" w:eastAsia="仿宋"/>
          <w:sz w:val="32"/>
          <w:szCs w:val="32"/>
        </w:rPr>
        <w:t>得</w:t>
      </w:r>
      <w:r>
        <w:rPr>
          <w:rFonts w:ascii="仿宋" w:hAnsi="仿宋" w:eastAsia="仿宋"/>
          <w:sz w:val="32"/>
          <w:szCs w:val="32"/>
        </w:rPr>
        <w:t>《</w:t>
      </w:r>
      <w:r>
        <w:rPr>
          <w:rFonts w:hint="eastAsia" w:ascii="仿宋" w:hAnsi="仿宋" w:eastAsia="仿宋"/>
          <w:sz w:val="32"/>
          <w:szCs w:val="32"/>
        </w:rPr>
        <w:t>中国传媒大学经管学部高级课程进修班</w:t>
      </w:r>
      <w:r>
        <w:rPr>
          <w:rFonts w:ascii="仿宋" w:hAnsi="仿宋" w:eastAsia="仿宋"/>
          <w:sz w:val="32"/>
          <w:szCs w:val="32"/>
        </w:rPr>
        <w:t>结业证书》。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spacing w:line="400" w:lineRule="exact"/>
        <w:ind w:firstLine="177" w:firstLineChars="49"/>
        <w:jc w:val="center"/>
        <w:rPr>
          <w:rFonts w:hint="eastAsia" w:ascii="黑体" w:eastAsia="黑体"/>
          <w:b/>
          <w:sz w:val="36"/>
          <w:szCs w:val="36"/>
        </w:rPr>
      </w:pPr>
      <w:r>
        <w:rPr>
          <w:rFonts w:hint="eastAsia" w:ascii="黑体" w:eastAsia="黑体"/>
          <w:b/>
          <w:sz w:val="36"/>
          <w:szCs w:val="36"/>
        </w:rPr>
        <w:t>中 国 传 媒 大 学</w:t>
      </w:r>
    </w:p>
    <w:p>
      <w:pPr>
        <w:spacing w:line="400" w:lineRule="exact"/>
        <w:jc w:val="center"/>
        <w:rPr>
          <w:rFonts w:hint="eastAsia" w:ascii="黑体" w:eastAsia="黑体"/>
          <w:b/>
          <w:sz w:val="36"/>
          <w:szCs w:val="36"/>
        </w:rPr>
      </w:pPr>
      <w:r>
        <w:rPr>
          <w:rFonts w:hint="eastAsia" w:ascii="黑体" w:eastAsia="黑体"/>
          <w:b/>
          <w:sz w:val="36"/>
          <w:szCs w:val="36"/>
        </w:rPr>
        <w:t>课 程 班 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7"/>
        <w:tblW w:w="101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008"/>
        <w:gridCol w:w="1252"/>
        <w:gridCol w:w="470"/>
        <w:gridCol w:w="57"/>
        <w:gridCol w:w="465"/>
        <w:gridCol w:w="270"/>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702" w:type="dxa"/>
            <w:vAlign w:val="center"/>
          </w:tcPr>
          <w:p>
            <w:pPr>
              <w:jc w:val="center"/>
              <w:rPr>
                <w:rFonts w:hint="eastAsia"/>
                <w:sz w:val="24"/>
              </w:rPr>
            </w:pPr>
            <w:r>
              <w:rPr>
                <w:rFonts w:hint="eastAsia"/>
                <w:sz w:val="24"/>
              </w:rPr>
              <w:t>专   业</w:t>
            </w:r>
          </w:p>
        </w:tc>
        <w:tc>
          <w:tcPr>
            <w:tcW w:w="3260" w:type="dxa"/>
            <w:gridSpan w:val="2"/>
            <w:vAlign w:val="center"/>
          </w:tcPr>
          <w:p>
            <w:pPr>
              <w:jc w:val="center"/>
              <w:rPr>
                <w:rFonts w:hint="eastAsia"/>
                <w:sz w:val="24"/>
              </w:rPr>
            </w:pPr>
          </w:p>
        </w:tc>
        <w:tc>
          <w:tcPr>
            <w:tcW w:w="992" w:type="dxa"/>
            <w:gridSpan w:val="3"/>
            <w:vAlign w:val="center"/>
          </w:tcPr>
          <w:p>
            <w:pPr>
              <w:jc w:val="center"/>
              <w:rPr>
                <w:rFonts w:hint="eastAsia"/>
                <w:sz w:val="24"/>
              </w:rPr>
            </w:pPr>
            <w:r>
              <w:rPr>
                <w:rFonts w:hint="eastAsia"/>
                <w:sz w:val="24"/>
              </w:rPr>
              <w:t>方  向</w:t>
            </w:r>
          </w:p>
        </w:tc>
        <w:tc>
          <w:tcPr>
            <w:tcW w:w="2616"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702" w:type="dxa"/>
            <w:vAlign w:val="center"/>
          </w:tcPr>
          <w:p>
            <w:pPr>
              <w:jc w:val="center"/>
              <w:rPr>
                <w:sz w:val="24"/>
              </w:rPr>
            </w:pPr>
            <w:r>
              <w:rPr>
                <w:rFonts w:hint="eastAsia"/>
                <w:sz w:val="24"/>
              </w:rPr>
              <w:t>姓    名</w:t>
            </w:r>
          </w:p>
        </w:tc>
        <w:tc>
          <w:tcPr>
            <w:tcW w:w="2008" w:type="dxa"/>
            <w:vAlign w:val="center"/>
          </w:tcPr>
          <w:p>
            <w:pPr>
              <w:jc w:val="center"/>
              <w:rPr>
                <w:rFonts w:hint="eastAsia"/>
                <w:sz w:val="24"/>
              </w:rPr>
            </w:pPr>
          </w:p>
        </w:tc>
        <w:tc>
          <w:tcPr>
            <w:tcW w:w="1252" w:type="dxa"/>
            <w:vAlign w:val="center"/>
          </w:tcPr>
          <w:p>
            <w:pPr>
              <w:jc w:val="center"/>
              <w:rPr>
                <w:sz w:val="24"/>
              </w:rPr>
            </w:pPr>
            <w:r>
              <w:rPr>
                <w:rFonts w:hint="eastAsia"/>
                <w:sz w:val="24"/>
              </w:rPr>
              <w:t>身份证号</w:t>
            </w:r>
          </w:p>
        </w:tc>
        <w:tc>
          <w:tcPr>
            <w:tcW w:w="3608"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702" w:type="dxa"/>
            <w:vAlign w:val="center"/>
          </w:tcPr>
          <w:p>
            <w:pPr>
              <w:jc w:val="center"/>
              <w:rPr>
                <w:sz w:val="24"/>
              </w:rPr>
            </w:pPr>
            <w:r>
              <w:rPr>
                <w:rFonts w:hint="eastAsia"/>
                <w:sz w:val="24"/>
              </w:rPr>
              <w:t>出生年月日</w:t>
            </w:r>
          </w:p>
        </w:tc>
        <w:tc>
          <w:tcPr>
            <w:tcW w:w="2008" w:type="dxa"/>
            <w:tcBorders>
              <w:bottom w:val="single" w:color="auto" w:sz="4" w:space="0"/>
            </w:tcBorders>
            <w:vAlign w:val="center"/>
          </w:tcPr>
          <w:p>
            <w:pPr>
              <w:jc w:val="center"/>
              <w:rPr>
                <w:sz w:val="24"/>
              </w:rPr>
            </w:pPr>
          </w:p>
        </w:tc>
        <w:tc>
          <w:tcPr>
            <w:tcW w:w="1252" w:type="dxa"/>
            <w:tcBorders>
              <w:bottom w:val="single" w:color="auto" w:sz="4" w:space="0"/>
            </w:tcBorders>
            <w:vAlign w:val="center"/>
          </w:tcPr>
          <w:p>
            <w:pPr>
              <w:jc w:val="center"/>
              <w:rPr>
                <w:sz w:val="24"/>
              </w:rPr>
            </w:pPr>
            <w:r>
              <w:rPr>
                <w:rFonts w:hint="eastAsia"/>
                <w:sz w:val="24"/>
              </w:rPr>
              <w:t>性别</w:t>
            </w:r>
          </w:p>
        </w:tc>
        <w:tc>
          <w:tcPr>
            <w:tcW w:w="992" w:type="dxa"/>
            <w:gridSpan w:val="3"/>
            <w:tcBorders>
              <w:bottom w:val="single" w:color="auto" w:sz="4" w:space="0"/>
            </w:tcBorders>
            <w:vAlign w:val="center"/>
          </w:tcPr>
          <w:p>
            <w:pPr>
              <w:jc w:val="center"/>
              <w:rPr>
                <w:sz w:val="24"/>
              </w:rPr>
            </w:pPr>
          </w:p>
        </w:tc>
        <w:tc>
          <w:tcPr>
            <w:tcW w:w="1462"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4252" w:type="dxa"/>
            <w:gridSpan w:val="5"/>
            <w:tcBorders>
              <w:top w:val="single" w:color="auto" w:sz="4" w:space="0"/>
              <w:left w:val="single" w:color="auto" w:sz="4" w:space="0"/>
              <w:bottom w:val="single" w:color="auto" w:sz="4" w:space="0"/>
            </w:tcBorders>
            <w:vAlign w:val="center"/>
          </w:tcPr>
          <w:p>
            <w:pPr>
              <w:jc w:val="center"/>
              <w:rPr>
                <w:sz w:val="24"/>
              </w:rPr>
            </w:pPr>
          </w:p>
        </w:tc>
        <w:tc>
          <w:tcPr>
            <w:tcW w:w="1462"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工作单位</w:t>
            </w:r>
          </w:p>
        </w:tc>
        <w:tc>
          <w:tcPr>
            <w:tcW w:w="4252" w:type="dxa"/>
            <w:gridSpan w:val="5"/>
            <w:tcBorders>
              <w:top w:val="single" w:color="auto" w:sz="4" w:space="0"/>
            </w:tcBorders>
            <w:vAlign w:val="center"/>
          </w:tcPr>
          <w:p>
            <w:pPr>
              <w:jc w:val="center"/>
              <w:rPr>
                <w:sz w:val="24"/>
              </w:rPr>
            </w:pPr>
          </w:p>
        </w:tc>
        <w:tc>
          <w:tcPr>
            <w:tcW w:w="1462"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手    机</w:t>
            </w:r>
          </w:p>
        </w:tc>
        <w:tc>
          <w:tcPr>
            <w:tcW w:w="3787" w:type="dxa"/>
            <w:gridSpan w:val="4"/>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sz w:val="24"/>
              </w:rPr>
            </w:pPr>
            <w:r>
              <w:rPr>
                <w:rFonts w:hint="eastAsia"/>
                <w:sz w:val="24"/>
              </w:rPr>
              <w:t>毕业院校</w:t>
            </w:r>
          </w:p>
        </w:tc>
        <w:tc>
          <w:tcPr>
            <w:tcW w:w="4522" w:type="dxa"/>
            <w:gridSpan w:val="6"/>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取得学历时间</w:t>
            </w:r>
          </w:p>
        </w:tc>
        <w:tc>
          <w:tcPr>
            <w:tcW w:w="3730" w:type="dxa"/>
            <w:gridSpan w:val="3"/>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学历证书编号</w:t>
            </w:r>
          </w:p>
        </w:tc>
        <w:tc>
          <w:tcPr>
            <w:tcW w:w="3730" w:type="dxa"/>
            <w:gridSpan w:val="3"/>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发票抬头</w:t>
            </w:r>
          </w:p>
        </w:tc>
        <w:tc>
          <w:tcPr>
            <w:tcW w:w="8495"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trPr>
        <w:tc>
          <w:tcPr>
            <w:tcW w:w="10197" w:type="dxa"/>
            <w:gridSpan w:val="10"/>
            <w:vAlign w:val="center"/>
          </w:tcPr>
          <w:p>
            <w:pPr>
              <w:ind w:left="1263" w:leftChars="115" w:hanging="1022" w:hangingChars="424"/>
              <w:rPr>
                <w:rFonts w:hint="eastAsia"/>
                <w:b/>
                <w:sz w:val="24"/>
              </w:rPr>
            </w:pPr>
          </w:p>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4"/>
              </w:rPr>
            </w:pPr>
            <w:r>
              <w:rPr>
                <w:rFonts w:hint="eastAsia"/>
                <w:sz w:val="24"/>
              </w:rPr>
              <w:t>一、本人承诺交付学校审核的毕业证书、学士学位证书、身份证真实有效，若因证书不真实造成后果，一切责任由本人自负。</w:t>
            </w:r>
          </w:p>
          <w:p>
            <w:pPr>
              <w:ind w:left="-57" w:leftChars="-27" w:firstLine="720" w:firstLineChars="300"/>
              <w:jc w:val="left"/>
              <w:rPr>
                <w:rFonts w:hint="eastAsia"/>
                <w:sz w:val="24"/>
              </w:rPr>
            </w:pPr>
            <w:r>
              <w:rPr>
                <w:rFonts w:hint="eastAsia"/>
                <w:sz w:val="24"/>
              </w:rPr>
              <w:t>二、开学后，发票由中国传媒大学统一开具。</w:t>
            </w:r>
          </w:p>
          <w:p>
            <w:pPr>
              <w:ind w:left="-57" w:leftChars="-27" w:firstLine="720" w:firstLineChars="300"/>
              <w:jc w:val="left"/>
              <w:rPr>
                <w:rFonts w:hint="eastAsia"/>
                <w:sz w:val="24"/>
              </w:rPr>
            </w:pPr>
            <w:r>
              <w:rPr>
                <w:rFonts w:hint="eastAsia"/>
                <w:sz w:val="24"/>
              </w:rPr>
              <w:t>三、开学后，学员因故不能坚持进修，视为自动放弃学习，不退学费。</w:t>
            </w:r>
          </w:p>
          <w:p>
            <w:pP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trPr>
        <w:tc>
          <w:tcPr>
            <w:tcW w:w="1702" w:type="dxa"/>
            <w:vAlign w:val="center"/>
          </w:tcPr>
          <w:p>
            <w:pPr>
              <w:jc w:val="center"/>
              <w:rPr>
                <w:rFonts w:hint="eastAsia"/>
                <w:b/>
                <w:sz w:val="24"/>
              </w:rPr>
            </w:pPr>
            <w:r>
              <w:rPr>
                <w:rFonts w:hint="eastAsia"/>
                <w:b/>
                <w:sz w:val="24"/>
              </w:rPr>
              <w:t>签字确认</w:t>
            </w:r>
          </w:p>
        </w:tc>
        <w:tc>
          <w:tcPr>
            <w:tcW w:w="8495" w:type="dxa"/>
            <w:gridSpan w:val="9"/>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ind w:firstLine="640" w:firstLineChars="200"/>
        <w:rPr>
          <w:rFonts w:ascii="仿宋" w:hAnsi="仿宋" w:eastAsia="仿宋"/>
          <w:sz w:val="32"/>
          <w:szCs w:val="32"/>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5B"/>
    <w:rsid w:val="00011D3D"/>
    <w:rsid w:val="000529F3"/>
    <w:rsid w:val="00096D4B"/>
    <w:rsid w:val="000B7681"/>
    <w:rsid w:val="0012076D"/>
    <w:rsid w:val="0012782E"/>
    <w:rsid w:val="001323FE"/>
    <w:rsid w:val="00154DE8"/>
    <w:rsid w:val="001A627B"/>
    <w:rsid w:val="001F5079"/>
    <w:rsid w:val="00212B62"/>
    <w:rsid w:val="00272ACD"/>
    <w:rsid w:val="002D0F5A"/>
    <w:rsid w:val="002D6CFE"/>
    <w:rsid w:val="00304064"/>
    <w:rsid w:val="004009B3"/>
    <w:rsid w:val="0045445E"/>
    <w:rsid w:val="004A58D2"/>
    <w:rsid w:val="004C29DE"/>
    <w:rsid w:val="004E1C68"/>
    <w:rsid w:val="004F0A00"/>
    <w:rsid w:val="00504B46"/>
    <w:rsid w:val="00522E2B"/>
    <w:rsid w:val="005420DF"/>
    <w:rsid w:val="005454EE"/>
    <w:rsid w:val="005861C5"/>
    <w:rsid w:val="005B72AB"/>
    <w:rsid w:val="006278D4"/>
    <w:rsid w:val="00655F6A"/>
    <w:rsid w:val="006A583F"/>
    <w:rsid w:val="007725F5"/>
    <w:rsid w:val="007859D1"/>
    <w:rsid w:val="007F0295"/>
    <w:rsid w:val="008B4015"/>
    <w:rsid w:val="008E07B9"/>
    <w:rsid w:val="008E1B56"/>
    <w:rsid w:val="008E5C7E"/>
    <w:rsid w:val="00906CAC"/>
    <w:rsid w:val="009108DD"/>
    <w:rsid w:val="00986513"/>
    <w:rsid w:val="009B50FE"/>
    <w:rsid w:val="009D7875"/>
    <w:rsid w:val="009F3D5B"/>
    <w:rsid w:val="009F3E35"/>
    <w:rsid w:val="00A6399B"/>
    <w:rsid w:val="00A9219C"/>
    <w:rsid w:val="00AE6515"/>
    <w:rsid w:val="00AF2D73"/>
    <w:rsid w:val="00B368B6"/>
    <w:rsid w:val="00B70C8D"/>
    <w:rsid w:val="00B812BB"/>
    <w:rsid w:val="00B834FD"/>
    <w:rsid w:val="00B952C9"/>
    <w:rsid w:val="00C039E1"/>
    <w:rsid w:val="00C815FC"/>
    <w:rsid w:val="00C818C8"/>
    <w:rsid w:val="00C95B9B"/>
    <w:rsid w:val="00CA128F"/>
    <w:rsid w:val="00D360DE"/>
    <w:rsid w:val="00D526E2"/>
    <w:rsid w:val="00D65EE5"/>
    <w:rsid w:val="00D71103"/>
    <w:rsid w:val="00D767B7"/>
    <w:rsid w:val="00D87894"/>
    <w:rsid w:val="00DE079F"/>
    <w:rsid w:val="00E531A2"/>
    <w:rsid w:val="00E74C3F"/>
    <w:rsid w:val="00EA02EA"/>
    <w:rsid w:val="00EA1449"/>
    <w:rsid w:val="00F02A0B"/>
    <w:rsid w:val="00F0440A"/>
    <w:rsid w:val="00F43C51"/>
    <w:rsid w:val="00FA1E45"/>
    <w:rsid w:val="00FD1645"/>
    <w:rsid w:val="2EC77849"/>
    <w:rsid w:val="3C1F3D6D"/>
    <w:rsid w:val="4EB338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275</Words>
  <Characters>1573</Characters>
  <Lines>13</Lines>
  <Paragraphs>3</Paragraphs>
  <ScaleCrop>false</ScaleCrop>
  <LinksUpToDate>false</LinksUpToDate>
  <CharactersWithSpaces>1845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2016-10-27T07:39:00Z</dcterms:created>
  <dc:creator>admin</dc:creator>
  <cp:lastModifiedBy>Administrator</cp:lastModifiedBy>
  <dcterms:modified xsi:type="dcterms:W3CDTF">2017-03-08T02:55:40Z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