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360" w:lineRule="atLeast"/>
        <w:jc w:val="center"/>
        <w:rPr>
          <w:rFonts w:ascii="宋体" w:hAnsi="宋体" w:eastAsia="宋体" w:cs="宋体"/>
          <w:color w:val="FF0000"/>
          <w:sz w:val="27"/>
          <w:szCs w:val="27"/>
        </w:rPr>
      </w:pPr>
      <w:r>
        <w:rPr>
          <w:rFonts w:ascii="_9ed1_4f53" w:hAnsi="_9ed1_4f53" w:eastAsia="_9ed1_4f53" w:cs="_9ed1_4f53"/>
          <w:b/>
          <w:color w:val="FF0000"/>
          <w:kern w:val="0"/>
          <w:sz w:val="52"/>
          <w:szCs w:val="52"/>
          <w:shd w:val="clear" w:color="auto" w:fill="FFFFFF"/>
        </w:rPr>
        <w:t>对外经济贸易大学金融学院</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4eff_5b8b_GB2312" w:hAnsi="_4eff_5b8b_GB2312" w:eastAsia="_4eff_5b8b_GB2312" w:cs="_4eff_5b8b_GB2312"/>
          <w:b/>
          <w:color w:val="000000"/>
          <w:kern w:val="0"/>
          <w:sz w:val="32"/>
          <w:szCs w:val="32"/>
          <w:shd w:val="clear" w:color="auto" w:fill="FFFFFF"/>
        </w:rPr>
        <w:t>   </w:t>
      </w:r>
      <w:r>
        <w:rPr>
          <w:rFonts w:ascii="_9ed1_4f53" w:hAnsi="_9ed1_4f53" w:eastAsia="_9ed1_4f53" w:cs="_9ed1_4f53"/>
          <w:b/>
          <w:color w:val="000000"/>
          <w:kern w:val="0"/>
          <w:sz w:val="32"/>
          <w:szCs w:val="32"/>
          <w:shd w:val="clear" w:color="auto" w:fill="FFFFFF"/>
        </w:rPr>
        <w:t>金融学专业</w:t>
      </w:r>
      <w:r>
        <w:rPr>
          <w:rFonts w:hint="eastAsia" w:ascii="_9ed1_4f53" w:hAnsi="_9ed1_4f53" w:eastAsia="_9ed1_4f53" w:cs="_9ed1_4f53"/>
          <w:b/>
          <w:color w:val="000000"/>
          <w:kern w:val="0"/>
          <w:sz w:val="32"/>
          <w:szCs w:val="32"/>
          <w:shd w:val="clear" w:color="auto" w:fill="FFFFFF"/>
        </w:rPr>
        <w:t>金融工程与风险管理</w:t>
      </w:r>
      <w:bookmarkStart w:id="3" w:name="_GoBack"/>
      <w:bookmarkEnd w:id="3"/>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9ed1_4f53" w:hAnsi="_9ed1_4f53" w:eastAsia="_9ed1_4f53" w:cs="_9ed1_4f53"/>
          <w:b/>
          <w:color w:val="000000"/>
          <w:kern w:val="0"/>
          <w:sz w:val="32"/>
          <w:szCs w:val="32"/>
          <w:shd w:val="clear" w:color="auto" w:fill="FFFFFF"/>
        </w:rPr>
        <w:t>在职课程研修班招生简章</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9ed1_4f53" w:hAnsi="_9ed1_4f53" w:eastAsia="_9ed1_4f53" w:cs="_9ed1_4f53"/>
          <w:b/>
          <w:color w:val="000000"/>
          <w:kern w:val="0"/>
          <w:sz w:val="32"/>
          <w:szCs w:val="32"/>
          <w:shd w:val="clear" w:color="auto" w:fill="FFFFFF"/>
        </w:rPr>
        <w:t>(可申请硕士学位)</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一、院校介绍：</w:t>
      </w:r>
    </w:p>
    <w:p>
      <w:pPr>
        <w:widowControl/>
        <w:shd w:val="clear" w:color="auto" w:fill="FFFFFF"/>
        <w:spacing w:beforeAutospacing="1" w:afterAutospacing="1" w:line="525" w:lineRule="atLeast"/>
        <w:ind w:firstLine="420"/>
        <w:jc w:val="left"/>
        <w:rPr>
          <w:rFonts w:ascii="Tahoma" w:hAnsi="Tahoma" w:eastAsia="Tahoma" w:cs="Tahoma"/>
          <w:color w:val="000000"/>
          <w:szCs w:val="21"/>
        </w:rPr>
      </w:pPr>
      <w:bookmarkStart w:id="0" w:name="OLE_LINK6"/>
      <w:r>
        <w:rPr>
          <w:rFonts w:hint="eastAsia" w:ascii="宋体" w:hAnsi="宋体" w:eastAsia="宋体" w:cs="宋体"/>
          <w:color w:val="000000"/>
          <w:kern w:val="0"/>
          <w:szCs w:val="21"/>
          <w:shd w:val="clear" w:color="auto" w:fill="FFFFFF"/>
        </w:rPr>
        <w:t>对外经济贸易大学是教育部直属的全国重点大学，国家“211工程”首批重点建设高校。金融学专业是对外经济贸易大学优势专业和北京市重点学科。金融学院拥有一支实力雄厚、学缘、结构合理，以资深教授为学科带头人、以高层次、高素质、高学历的中青年教师为骨干的师资队伍。现有金融学、投资学、金融工程学三个专业，承担本科、硕士研究生和博士研究生三个教育层次的教学工作。学院重视经济金融领域重大理论和现实问题的研究，构建了金融研究所、金融发展研究中心、金融产品与投资研究中心、国际金融战略研究中心等科研平台，承担了国家社科基金、教育部、科技部、中国人民银行、中国金融教育发展基金会等国家级、省部级的多项科研课题，承担了国际金融机构及国内的银行及非银行金融机构的横向科研项目的研究任务，研究成果在经济金融理论、金融改革与发展等方面具有重大影响。</w:t>
      </w:r>
    </w:p>
    <w:bookmarkEnd w:id="0"/>
    <w:p>
      <w:pPr>
        <w:widowControl/>
        <w:shd w:val="clear" w:color="auto" w:fill="FFFFFF"/>
        <w:spacing w:beforeAutospacing="1" w:afterAutospacing="1" w:line="360" w:lineRule="atLeast"/>
        <w:rPr>
          <w:rFonts w:ascii="Tahoma" w:hAnsi="Tahoma" w:eastAsia="Tahoma" w:cs="Tahoma"/>
          <w:color w:val="000000"/>
          <w:szCs w:val="21"/>
        </w:rPr>
      </w:pPr>
      <w:r>
        <w:rPr>
          <w:rStyle w:val="6"/>
          <w:rFonts w:hint="eastAsia" w:ascii="宋体" w:hAnsi="宋体" w:eastAsia="宋体" w:cs="宋体"/>
          <w:color w:val="000000"/>
          <w:sz w:val="24"/>
          <w:shd w:val="clear" w:color="auto" w:fill="FFFFFF"/>
        </w:rPr>
        <w:t>二、培养方向及目标</w:t>
      </w:r>
    </w:p>
    <w:p>
      <w:pPr>
        <w:pStyle w:val="4"/>
        <w:widowControl/>
        <w:shd w:val="clear" w:color="auto" w:fill="FFFFFF"/>
        <w:spacing w:line="420" w:lineRule="atLeast"/>
        <w:ind w:firstLine="42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帮助学员建立在金融学理论方面的厚实功底，为学员拓展资本运作思路，剖析金融投资模式，培养具有扎实的金融学理论基础，掌握银行、证券、保险、投资等金融业务与创新的前沿理论和实务的复合型高级人才。</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三、报名条件：</w:t>
      </w:r>
    </w:p>
    <w:p>
      <w:pPr>
        <w:pStyle w:val="4"/>
        <w:widowControl/>
        <w:shd w:val="clear" w:color="auto" w:fill="FFFFFF"/>
        <w:spacing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1、遵纪守法，品行端正，在相关机构、教学、科研、管理等方面做出成绩的在职人员优先录取。</w:t>
      </w:r>
    </w:p>
    <w:p>
      <w:pPr>
        <w:pStyle w:val="4"/>
        <w:widowControl/>
        <w:shd w:val="clear" w:color="auto" w:fill="FFFFFF"/>
        <w:spacing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2、大专及大专以上学历者（专业背景不限，有学士学位的学生有资格申请对外经贸大学金融学专业经济学硕士学位证书）。</w:t>
      </w:r>
    </w:p>
    <w:p>
      <w:pPr>
        <w:pStyle w:val="4"/>
        <w:widowControl/>
        <w:shd w:val="clear" w:color="auto" w:fill="FFFFFF"/>
        <w:spacing w:line="420" w:lineRule="atLeast"/>
        <w:ind w:firstLine="420"/>
        <w:rPr>
          <w:rFonts w:ascii="宋体" w:hAnsi="宋体" w:eastAsia="宋体" w:cs="宋体"/>
          <w:b/>
          <w:bCs/>
          <w:color w:val="FF0000"/>
          <w:sz w:val="21"/>
          <w:szCs w:val="21"/>
          <w:shd w:val="clear" w:color="auto" w:fill="FFFFFF"/>
        </w:rPr>
      </w:pPr>
      <w:r>
        <w:rPr>
          <w:rFonts w:ascii="宋体" w:hAnsi="宋体" w:eastAsia="宋体" w:cs="宋体"/>
          <w:b/>
          <w:bCs/>
          <w:color w:val="FF0000"/>
          <w:sz w:val="21"/>
          <w:szCs w:val="21"/>
          <w:shd w:val="clear" w:color="auto" w:fill="FFFFFF"/>
        </w:rPr>
        <w:t>通过五月份同等学力申硕,可获得金融学专业经济学硕士学位证书</w:t>
      </w:r>
    </w:p>
    <w:p>
      <w:pPr>
        <w:pStyle w:val="4"/>
        <w:widowControl/>
        <w:shd w:val="clear" w:color="auto" w:fill="FFFFFF"/>
        <w:spacing w:line="420" w:lineRule="atLeast"/>
        <w:ind w:firstLine="420"/>
        <w:rPr>
          <w:rFonts w:ascii="宋体" w:hAnsi="宋体" w:eastAsia="宋体" w:cs="宋体"/>
          <w:color w:val="000000"/>
          <w:sz w:val="27"/>
          <w:szCs w:val="27"/>
        </w:rPr>
      </w:pPr>
      <w:r>
        <w:rPr>
          <w:rFonts w:ascii="宋体" w:hAnsi="宋体" w:eastAsia="宋体" w:cs="宋体"/>
          <w:color w:val="000000"/>
          <w:sz w:val="21"/>
          <w:szCs w:val="21"/>
          <w:shd w:val="clear" w:color="auto" w:fill="FFFFFF"/>
        </w:rPr>
        <w:t>获得学士学位满3年者，在通过国家同等学力的英语、综合课程考试，并公开发表一篇相关论文，即可以进入硕士学位申请阶段。通过学校论文答辩和学位审批后，可以获得对外经济贸易大学金融学专业经济学硕士学位证书。</w:t>
      </w:r>
      <w:r>
        <w:rPr>
          <w:rFonts w:ascii="_5b8b_4f53" w:hAnsi="_5b8b_4f53" w:eastAsia="_5b8b_4f53" w:cs="_5b8b_4f53"/>
          <w:color w:val="000000"/>
          <w:sz w:val="27"/>
          <w:szCs w:val="27"/>
          <w:shd w:val="clear" w:color="auto" w:fill="FFFFFF"/>
        </w:rPr>
        <w:t> </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三、培养方向</w:t>
      </w:r>
      <w:r>
        <w:rPr>
          <w:rStyle w:val="6"/>
          <w:rFonts w:ascii="宋体" w:hAnsi="宋体" w:eastAsia="宋体" w:cs="宋体"/>
          <w:color w:val="000000"/>
          <w:sz w:val="24"/>
          <w:shd w:val="clear" w:color="auto" w:fill="FFFFFF"/>
        </w:rPr>
        <w:t>：</w:t>
      </w:r>
      <w:r>
        <w:rPr>
          <w:rStyle w:val="6"/>
          <w:rFonts w:hint="eastAsia" w:ascii="宋体" w:hAnsi="宋体" w:eastAsia="宋体" w:cs="宋体"/>
          <w:color w:val="FF0000"/>
          <w:sz w:val="24"/>
          <w:shd w:val="clear" w:color="auto" w:fill="FFFFFF"/>
        </w:rPr>
        <w:t>金融工程与风险管理</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课程设置</w:t>
      </w:r>
    </w:p>
    <w:tbl>
      <w:tblPr>
        <w:tblStyle w:val="7"/>
        <w:tblW w:w="9580" w:type="dxa"/>
        <w:tblInd w:w="0" w:type="dxa"/>
        <w:tblLayout w:type="fixed"/>
        <w:tblCellMar>
          <w:top w:w="15" w:type="dxa"/>
          <w:left w:w="15" w:type="dxa"/>
          <w:bottom w:w="15" w:type="dxa"/>
          <w:right w:w="15" w:type="dxa"/>
        </w:tblCellMar>
      </w:tblPr>
      <w:tblGrid>
        <w:gridCol w:w="4790"/>
        <w:gridCol w:w="4790"/>
      </w:tblGrid>
      <w:tr>
        <w:tblPrEx>
          <w:tblLayout w:type="fixed"/>
          <w:tblCellMar>
            <w:top w:w="15" w:type="dxa"/>
            <w:left w:w="15" w:type="dxa"/>
            <w:bottom w:w="15" w:type="dxa"/>
            <w:right w:w="15" w:type="dxa"/>
          </w:tblCellMar>
        </w:tblPrEx>
        <w:trPr>
          <w:trHeight w:val="90" w:hRule="atLeast"/>
        </w:trPr>
        <w:tc>
          <w:tcPr>
            <w:tcW w:w="4790" w:type="dxa"/>
            <w:tcBorders>
              <w:top w:val="single" w:color="000000" w:sz="12" w:space="0"/>
              <w:bottom w:val="single" w:color="000000" w:sz="12" w:space="0"/>
              <w:right w:val="single" w:color="000000" w:sz="12" w:space="0"/>
            </w:tcBorders>
            <w:shd w:val="clear" w:color="auto" w:fill="FFC000"/>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课程名称</w:t>
            </w:r>
          </w:p>
        </w:tc>
        <w:tc>
          <w:tcPr>
            <w:tcW w:w="4790" w:type="dxa"/>
            <w:tcBorders>
              <w:top w:val="single" w:color="000000" w:sz="12" w:space="0"/>
              <w:bottom w:val="single" w:color="000000" w:sz="12" w:space="0"/>
              <w:right w:val="single" w:color="000000" w:sz="12" w:space="0"/>
            </w:tcBorders>
            <w:shd w:val="clear" w:color="auto" w:fill="FFC000"/>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模块释义</w:t>
            </w:r>
          </w:p>
        </w:tc>
      </w:tr>
      <w:tr>
        <w:tblPrEx>
          <w:tblLayout w:type="fixed"/>
          <w:tblCellMar>
            <w:top w:w="15" w:type="dxa"/>
            <w:left w:w="15" w:type="dxa"/>
            <w:bottom w:w="15" w:type="dxa"/>
            <w:right w:w="15" w:type="dxa"/>
          </w:tblCellMar>
        </w:tblPrEx>
        <w:trPr>
          <w:trHeight w:val="90" w:hRule="atLeast"/>
        </w:trPr>
        <w:tc>
          <w:tcPr>
            <w:tcW w:w="4790" w:type="dxa"/>
            <w:shd w:val="clear" w:color="auto" w:fill="auto"/>
            <w:vAlign w:val="center"/>
          </w:tcPr>
          <w:p>
            <w:pPr>
              <w:rPr>
                <w:rFonts w:ascii="宋体" w:hAnsi="宋体" w:eastAsia="宋体" w:cs="宋体"/>
                <w:color w:val="000000"/>
                <w:sz w:val="22"/>
                <w:szCs w:val="22"/>
              </w:rPr>
            </w:pPr>
          </w:p>
        </w:tc>
        <w:tc>
          <w:tcPr>
            <w:tcW w:w="4790" w:type="dxa"/>
            <w:shd w:val="clear" w:color="auto" w:fill="auto"/>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 微观经济学</w:t>
            </w:r>
          </w:p>
        </w:tc>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帮助学员熟悉经济学基础学科，为金融专业课程的学习建立系统性、完整性的基础；</w:t>
            </w: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 宏观经济学</w:t>
            </w:r>
          </w:p>
        </w:tc>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即研究生同等学力人员申请硕士学位全国统一考试经济学综合和英语的考试内容。</w:t>
            </w: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 社会主义经济理论</w:t>
            </w:r>
          </w:p>
        </w:tc>
        <w:tc>
          <w:tcPr>
            <w:tcW w:w="4790" w:type="dxa"/>
            <w:tcBorders>
              <w:right w:val="single" w:color="000000" w:sz="12" w:space="0"/>
            </w:tcBorders>
            <w:shd w:val="clear" w:color="auto" w:fill="FFFFFF"/>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 国际经济学</w:t>
            </w:r>
          </w:p>
        </w:tc>
        <w:tc>
          <w:tcPr>
            <w:tcW w:w="4790" w:type="dxa"/>
            <w:tcBorders>
              <w:right w:val="single" w:color="000000" w:sz="12" w:space="0"/>
            </w:tcBorders>
            <w:shd w:val="clear" w:color="auto" w:fill="FFFFFF"/>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 货币银行学</w:t>
            </w:r>
          </w:p>
        </w:tc>
        <w:tc>
          <w:tcPr>
            <w:tcW w:w="4790" w:type="dxa"/>
            <w:tcBorders>
              <w:right w:val="single" w:color="000000" w:sz="12" w:space="0"/>
            </w:tcBorders>
            <w:shd w:val="clear" w:color="auto" w:fill="FFFFFF"/>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 财政学</w:t>
            </w:r>
          </w:p>
        </w:tc>
        <w:tc>
          <w:tcPr>
            <w:tcW w:w="4790" w:type="dxa"/>
            <w:tcBorders>
              <w:right w:val="single" w:color="000000" w:sz="12" w:space="0"/>
            </w:tcBorders>
            <w:shd w:val="clear" w:color="auto" w:fill="FFFFFF"/>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90" w:hRule="atLeast"/>
        </w:trPr>
        <w:tc>
          <w:tcPr>
            <w:tcW w:w="4790" w:type="dxa"/>
            <w:tcBorders>
              <w:bottom w:val="single" w:color="000000" w:sz="12" w:space="0"/>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 英语</w:t>
            </w:r>
          </w:p>
        </w:tc>
        <w:tc>
          <w:tcPr>
            <w:tcW w:w="4790" w:type="dxa"/>
            <w:tcBorders>
              <w:bottom w:val="single" w:color="000000" w:sz="12" w:space="0"/>
              <w:right w:val="single" w:color="000000" w:sz="12" w:space="0"/>
            </w:tcBorders>
            <w:shd w:val="clear" w:color="auto" w:fill="FFFFFF"/>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金融市场</w:t>
            </w:r>
          </w:p>
        </w:tc>
        <w:tc>
          <w:tcPr>
            <w:tcW w:w="4790" w:type="dxa"/>
            <w:vMerge w:val="restart"/>
            <w:tcBorders>
              <w:bottom w:val="single" w:color="000000" w:sz="12" w:space="0"/>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本课程旨在学习创新型衍生产品的开发、设计及应用和金融风险规避。通过科学的方法对金融结构化投资方案作出全面而充分的评估，达到规避金融风险的目的。</w:t>
            </w: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财务报表分析</w:t>
            </w:r>
          </w:p>
        </w:tc>
        <w:tc>
          <w:tcPr>
            <w:tcW w:w="4790" w:type="dxa"/>
            <w:vMerge w:val="continue"/>
            <w:tcBorders>
              <w:bottom w:val="single" w:color="000000" w:sz="12" w:space="0"/>
              <w:right w:val="single" w:color="000000" w:sz="12" w:space="0"/>
            </w:tcBorders>
            <w:shd w:val="clear" w:color="auto" w:fill="FFFFFF"/>
            <w:vAlign w:val="center"/>
          </w:tcPr>
          <w:p>
            <w:pP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投资银行经营与管理</w:t>
            </w:r>
          </w:p>
        </w:tc>
        <w:tc>
          <w:tcPr>
            <w:tcW w:w="4790" w:type="dxa"/>
            <w:vMerge w:val="continue"/>
            <w:tcBorders>
              <w:bottom w:val="single" w:color="000000" w:sz="12" w:space="0"/>
              <w:right w:val="single" w:color="000000" w:sz="12" w:space="0"/>
            </w:tcBorders>
            <w:shd w:val="clear" w:color="auto" w:fill="FFFFFF"/>
            <w:vAlign w:val="center"/>
          </w:tcPr>
          <w:p>
            <w:pP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金融工程</w:t>
            </w:r>
          </w:p>
        </w:tc>
        <w:tc>
          <w:tcPr>
            <w:tcW w:w="4790" w:type="dxa"/>
            <w:vMerge w:val="continue"/>
            <w:tcBorders>
              <w:bottom w:val="single" w:color="000000" w:sz="12" w:space="0"/>
              <w:right w:val="single" w:color="000000" w:sz="12" w:space="0"/>
            </w:tcBorders>
            <w:shd w:val="clear" w:color="auto" w:fill="FFFFFF"/>
            <w:vAlign w:val="center"/>
          </w:tcPr>
          <w:p>
            <w:pP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金融风险管理及其控制</w:t>
            </w:r>
          </w:p>
        </w:tc>
        <w:tc>
          <w:tcPr>
            <w:tcW w:w="4790" w:type="dxa"/>
            <w:vMerge w:val="continue"/>
            <w:tcBorders>
              <w:bottom w:val="single" w:color="000000" w:sz="12" w:space="0"/>
              <w:right w:val="single" w:color="000000" w:sz="12" w:space="0"/>
            </w:tcBorders>
            <w:shd w:val="clear" w:color="auto" w:fill="FFFFFF"/>
            <w:vAlign w:val="center"/>
          </w:tcPr>
          <w:p>
            <w:pP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投资组合管理</w:t>
            </w:r>
          </w:p>
        </w:tc>
        <w:tc>
          <w:tcPr>
            <w:tcW w:w="4790" w:type="dxa"/>
            <w:vMerge w:val="continue"/>
            <w:tcBorders>
              <w:bottom w:val="single" w:color="000000" w:sz="12" w:space="0"/>
              <w:right w:val="single" w:color="000000" w:sz="12" w:space="0"/>
            </w:tcBorders>
            <w:shd w:val="clear" w:color="auto" w:fill="FFFFFF"/>
            <w:vAlign w:val="center"/>
          </w:tcPr>
          <w:p>
            <w:pP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期货投资及风险管理</w:t>
            </w:r>
          </w:p>
        </w:tc>
        <w:tc>
          <w:tcPr>
            <w:tcW w:w="4790" w:type="dxa"/>
            <w:vMerge w:val="continue"/>
            <w:tcBorders>
              <w:bottom w:val="single" w:color="000000" w:sz="12" w:space="0"/>
              <w:right w:val="single" w:color="000000" w:sz="12" w:space="0"/>
            </w:tcBorders>
            <w:shd w:val="clear" w:color="auto" w:fill="FFFFFF"/>
            <w:vAlign w:val="center"/>
          </w:tcPr>
          <w:p>
            <w:pP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期权投资及风险管理   </w:t>
            </w:r>
          </w:p>
        </w:tc>
        <w:tc>
          <w:tcPr>
            <w:tcW w:w="4790" w:type="dxa"/>
            <w:vMerge w:val="continue"/>
            <w:tcBorders>
              <w:bottom w:val="single" w:color="000000" w:sz="12" w:space="0"/>
              <w:right w:val="single" w:color="000000" w:sz="12" w:space="0"/>
            </w:tcBorders>
            <w:shd w:val="clear" w:color="auto" w:fill="FFFFFF"/>
            <w:vAlign w:val="center"/>
          </w:tcPr>
          <w:p>
            <w:pP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金融计量经济学</w:t>
            </w:r>
          </w:p>
        </w:tc>
        <w:tc>
          <w:tcPr>
            <w:tcW w:w="4790" w:type="dxa"/>
            <w:vMerge w:val="continue"/>
            <w:tcBorders>
              <w:bottom w:val="single" w:color="000000" w:sz="12" w:space="0"/>
              <w:right w:val="single" w:color="000000" w:sz="12" w:space="0"/>
            </w:tcBorders>
            <w:shd w:val="clear" w:color="auto" w:fill="FFFFFF"/>
            <w:vAlign w:val="center"/>
          </w:tcPr>
          <w:p>
            <w:pP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企业风险管理</w:t>
            </w:r>
          </w:p>
        </w:tc>
        <w:tc>
          <w:tcPr>
            <w:tcW w:w="4790" w:type="dxa"/>
            <w:vMerge w:val="continue"/>
            <w:tcBorders>
              <w:bottom w:val="single" w:color="000000" w:sz="12" w:space="0"/>
              <w:right w:val="single" w:color="000000" w:sz="12" w:space="0"/>
            </w:tcBorders>
            <w:shd w:val="clear" w:color="auto" w:fill="FFFFFF"/>
            <w:vAlign w:val="center"/>
          </w:tcPr>
          <w:p>
            <w:pP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固定收益证券产品分析</w:t>
            </w:r>
          </w:p>
        </w:tc>
        <w:tc>
          <w:tcPr>
            <w:tcW w:w="4790" w:type="dxa"/>
            <w:vMerge w:val="continue"/>
            <w:tcBorders>
              <w:bottom w:val="single" w:color="000000" w:sz="12" w:space="0"/>
              <w:right w:val="single" w:color="000000" w:sz="12" w:space="0"/>
            </w:tcBorders>
            <w:shd w:val="clear" w:color="auto" w:fill="FFFFFF"/>
            <w:vAlign w:val="center"/>
          </w:tcPr>
          <w:p>
            <w:pP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90" w:hRule="atLeast"/>
        </w:trPr>
        <w:tc>
          <w:tcPr>
            <w:tcW w:w="4790" w:type="dxa"/>
            <w:tcBorders>
              <w:right w:val="single" w:color="000000" w:sz="12"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高级金融产品</w:t>
            </w:r>
          </w:p>
        </w:tc>
        <w:tc>
          <w:tcPr>
            <w:tcW w:w="4790" w:type="dxa"/>
            <w:vMerge w:val="continue"/>
            <w:tcBorders>
              <w:bottom w:val="single" w:color="000000" w:sz="12" w:space="0"/>
              <w:right w:val="single" w:color="000000" w:sz="12" w:space="0"/>
            </w:tcBorders>
            <w:shd w:val="clear" w:color="auto" w:fill="FFFFFF"/>
            <w:vAlign w:val="center"/>
          </w:tcPr>
          <w:p>
            <w:pP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90" w:hRule="atLeast"/>
        </w:trPr>
        <w:tc>
          <w:tcPr>
            <w:tcW w:w="4790" w:type="dxa"/>
            <w:tcBorders>
              <w:bottom w:val="single" w:color="000000" w:sz="12" w:space="0"/>
              <w:right w:val="single" w:color="000000" w:sz="12" w:space="0"/>
            </w:tcBorders>
            <w:shd w:val="clear" w:color="auto" w:fill="FFFFFF"/>
            <w:vAlign w:val="center"/>
          </w:tcPr>
          <w:p>
            <w:pPr>
              <w:rPr>
                <w:rFonts w:ascii="宋体" w:hAnsi="宋体" w:eastAsia="宋体" w:cs="宋体"/>
                <w:color w:val="000000"/>
                <w:sz w:val="22"/>
                <w:szCs w:val="22"/>
              </w:rPr>
            </w:pPr>
          </w:p>
        </w:tc>
        <w:tc>
          <w:tcPr>
            <w:tcW w:w="4790" w:type="dxa"/>
            <w:vMerge w:val="continue"/>
            <w:tcBorders>
              <w:bottom w:val="single" w:color="000000" w:sz="12" w:space="0"/>
              <w:right w:val="single" w:color="000000" w:sz="12" w:space="0"/>
            </w:tcBorders>
            <w:shd w:val="clear" w:color="auto" w:fill="FFFFFF"/>
            <w:vAlign w:val="center"/>
          </w:tcPr>
          <w:p>
            <w:pPr>
              <w:rPr>
                <w:rFonts w:ascii="宋体" w:hAnsi="宋体" w:eastAsia="宋体" w:cs="宋体"/>
                <w:color w:val="000000"/>
                <w:szCs w:val="21"/>
              </w:rPr>
            </w:pPr>
          </w:p>
        </w:tc>
      </w:tr>
    </w:tbl>
    <w:p>
      <w:pPr>
        <w:widowControl/>
        <w:shd w:val="clear" w:color="auto" w:fill="FFFFFF"/>
        <w:spacing w:beforeAutospacing="1" w:afterAutospacing="1" w:line="360" w:lineRule="atLeast"/>
      </w:pPr>
    </w:p>
    <w:p>
      <w:pPr>
        <w:widowControl/>
        <w:shd w:val="clear" w:color="auto" w:fill="FFFFFF"/>
        <w:spacing w:beforeAutospacing="1" w:afterAutospacing="1" w:line="480" w:lineRule="atLeast"/>
        <w:rPr>
          <w:rFonts w:ascii="宋体" w:hAnsi="宋体" w:eastAsia="宋体" w:cs="宋体"/>
          <w:color w:val="000000"/>
          <w:sz w:val="18"/>
          <w:szCs w:val="18"/>
        </w:rPr>
      </w:pPr>
      <w:r>
        <w:rPr>
          <w:rStyle w:val="6"/>
          <w:rFonts w:hint="eastAsia" w:ascii="宋体" w:hAnsi="宋体" w:eastAsia="宋体" w:cs="宋体"/>
          <w:color w:val="000000"/>
          <w:sz w:val="24"/>
          <w:shd w:val="clear" w:color="auto" w:fill="FFFFFF"/>
        </w:rPr>
        <w:t>四</w:t>
      </w:r>
      <w:r>
        <w:rPr>
          <w:rStyle w:val="6"/>
          <w:rFonts w:ascii="宋体" w:hAnsi="宋体" w:eastAsia="宋体" w:cs="宋体"/>
          <w:color w:val="000000"/>
          <w:sz w:val="24"/>
          <w:shd w:val="clear" w:color="auto" w:fill="FFFFFF"/>
        </w:rPr>
        <w:t>、学制：</w:t>
      </w:r>
      <w:r>
        <w:rPr>
          <w:rFonts w:ascii="_5b8b_4f53" w:hAnsi="_5b8b_4f53" w:eastAsia="_5b8b_4f53" w:cs="_5b8b_4f53"/>
          <w:color w:val="000000"/>
          <w:kern w:val="0"/>
          <w:sz w:val="18"/>
          <w:szCs w:val="18"/>
          <w:shd w:val="clear" w:color="auto" w:fill="FFFFFF"/>
        </w:rPr>
        <w:t>两年，不脱产学习，隔周周末（六、日）上课。</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Fonts w:ascii="Times New Roman" w:hAnsi="Times New Roman" w:eastAsia="宋体" w:cs="Times New Roman"/>
          <w:color w:val="000000"/>
          <w:kern w:val="0"/>
          <w:sz w:val="18"/>
          <w:szCs w:val="18"/>
          <w:shd w:val="clear" w:color="auto" w:fill="FFFFFF"/>
        </w:rPr>
        <w:t> </w:t>
      </w:r>
      <w:r>
        <w:rPr>
          <w:rStyle w:val="6"/>
          <w:rFonts w:hint="eastAsia" w:ascii="宋体" w:hAnsi="宋体" w:eastAsia="宋体" w:cs="宋体"/>
          <w:color w:val="000000"/>
          <w:sz w:val="24"/>
          <w:shd w:val="clear" w:color="auto" w:fill="FFFFFF"/>
        </w:rPr>
        <w:t>五</w:t>
      </w:r>
      <w:r>
        <w:rPr>
          <w:rStyle w:val="6"/>
          <w:rFonts w:ascii="宋体" w:hAnsi="宋体" w:eastAsia="宋体" w:cs="宋体"/>
          <w:color w:val="000000"/>
          <w:sz w:val="24"/>
          <w:shd w:val="clear" w:color="auto" w:fill="FFFFFF"/>
        </w:rPr>
        <w:t>、学习费用：</w:t>
      </w:r>
    </w:p>
    <w:p>
      <w:pPr>
        <w:widowControl/>
        <w:shd w:val="clear" w:color="auto" w:fill="FFFFFF"/>
        <w:spacing w:beforeAutospacing="1" w:afterAutospacing="1" w:line="360" w:lineRule="atLeast"/>
        <w:ind w:firstLine="210"/>
        <w:rPr>
          <w:rFonts w:ascii="_5b8b_4f53" w:hAnsi="_5b8b_4f53" w:eastAsia="_5b8b_4f53" w:cs="_5b8b_4f53"/>
          <w:color w:val="000000"/>
          <w:kern w:val="0"/>
          <w:sz w:val="18"/>
          <w:szCs w:val="18"/>
          <w:shd w:val="clear" w:color="auto" w:fill="FFFFFF"/>
        </w:rPr>
      </w:pPr>
      <w:r>
        <w:rPr>
          <w:rFonts w:ascii="_5b8b_4f53" w:hAnsi="_5b8b_4f53" w:eastAsia="_5b8b_4f53" w:cs="_5b8b_4f53"/>
          <w:color w:val="000000"/>
          <w:kern w:val="0"/>
          <w:sz w:val="18"/>
          <w:szCs w:val="18"/>
          <w:shd w:val="clear" w:color="auto" w:fill="FFFFFF"/>
        </w:rPr>
        <w:t>1、学费：24000元/2年，</w:t>
      </w:r>
      <w:bookmarkStart w:id="1" w:name="OLE_LINK3"/>
      <w:r>
        <w:rPr>
          <w:rFonts w:hint="eastAsia" w:ascii="_5b8b_4f53" w:hAnsi="_5b8b_4f53" w:eastAsia="_5b8b_4f53" w:cs="_5b8b_4f53"/>
          <w:color w:val="000000"/>
          <w:kern w:val="0"/>
          <w:sz w:val="18"/>
          <w:szCs w:val="18"/>
          <w:shd w:val="clear" w:color="auto" w:fill="FFFFFF"/>
        </w:rPr>
        <w:t>特许金融分析师CFA学费：29800/2年</w:t>
      </w:r>
      <w:bookmarkEnd w:id="1"/>
      <w:r>
        <w:rPr>
          <w:rFonts w:hint="eastAsia" w:ascii="_5b8b_4f53" w:hAnsi="_5b8b_4f53" w:eastAsia="_5b8b_4f53" w:cs="_5b8b_4f53"/>
          <w:color w:val="000000"/>
          <w:kern w:val="0"/>
          <w:sz w:val="18"/>
          <w:szCs w:val="18"/>
          <w:shd w:val="clear" w:color="auto" w:fill="FFFFFF"/>
        </w:rPr>
        <w:t>，</w:t>
      </w:r>
      <w:r>
        <w:rPr>
          <w:rFonts w:ascii="_5b8b_4f53" w:hAnsi="_5b8b_4f53" w:eastAsia="_5b8b_4f53" w:cs="_5b8b_4f53"/>
          <w:color w:val="000000"/>
          <w:kern w:val="0"/>
          <w:sz w:val="18"/>
          <w:szCs w:val="18"/>
          <w:shd w:val="clear" w:color="auto" w:fill="FFFFFF"/>
        </w:rPr>
        <w:t>一次性交齐</w:t>
      </w:r>
      <w:r>
        <w:rPr>
          <w:rFonts w:hint="eastAsia" w:ascii="_5b8b_4f53" w:hAnsi="_5b8b_4f53" w:eastAsia="_5b8b_4f53" w:cs="_5b8b_4f53"/>
          <w:color w:val="000000"/>
          <w:kern w:val="0"/>
          <w:sz w:val="18"/>
          <w:szCs w:val="18"/>
          <w:shd w:val="clear" w:color="auto" w:fill="FFFFFF"/>
        </w:rPr>
        <w:t>。</w:t>
      </w:r>
    </w:p>
    <w:p>
      <w:pPr>
        <w:widowControl/>
        <w:shd w:val="clear" w:color="auto" w:fill="FFFFFF"/>
        <w:spacing w:beforeAutospacing="1" w:afterAutospacing="1" w:line="360" w:lineRule="atLeast"/>
        <w:ind w:firstLine="210"/>
        <w:rPr>
          <w:rFonts w:ascii="宋体" w:hAnsi="宋体" w:eastAsia="宋体" w:cs="宋体"/>
          <w:color w:val="000000"/>
          <w:sz w:val="18"/>
          <w:szCs w:val="18"/>
        </w:rPr>
      </w:pPr>
      <w:r>
        <w:rPr>
          <w:rFonts w:hint="eastAsia" w:ascii="_5b8b_4f53" w:hAnsi="_5b8b_4f53" w:eastAsia="_5b8b_4f53" w:cs="_5b8b_4f53"/>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w:t>
      </w:r>
      <w:r>
        <w:rPr>
          <w:rFonts w:ascii="_5b8b_4f53" w:hAnsi="_5b8b_4f53" w:eastAsia="_5b8b_4f53" w:cs="_5b8b_4f53"/>
          <w:b/>
          <w:color w:val="000000"/>
          <w:kern w:val="0"/>
          <w:sz w:val="18"/>
          <w:szCs w:val="18"/>
          <w:shd w:val="clear" w:color="auto" w:fill="FFFFFF"/>
        </w:rPr>
        <w:t>学习期间每门结业考试均不另收取考试费。</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六</w:t>
      </w:r>
      <w:r>
        <w:rPr>
          <w:rStyle w:val="6"/>
          <w:rFonts w:ascii="宋体" w:hAnsi="宋体" w:eastAsia="宋体" w:cs="宋体"/>
          <w:color w:val="000000"/>
          <w:sz w:val="24"/>
          <w:shd w:val="clear" w:color="auto" w:fill="FFFFFF"/>
        </w:rPr>
        <w:t>、颁发证书：</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1、在职课程研修班的学员，完成“课程设置”中所规定的课程并考试（考核）成绩合格者即可结业。</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2、结业学员获加盖校长签名章、学校钢印和红章的 《对外经济贸易大学在职课程研修班结业证书》。</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3、符合申请硕士学位条件的学员（取得国家承认学士学位）可按我校有关规定申请对外经贸大学金融学专业经济学硕士学位。</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 </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七</w:t>
      </w:r>
      <w:r>
        <w:rPr>
          <w:rStyle w:val="6"/>
          <w:rFonts w:ascii="宋体" w:hAnsi="宋体" w:eastAsia="宋体" w:cs="宋体"/>
          <w:color w:val="000000"/>
          <w:sz w:val="24"/>
          <w:shd w:val="clear" w:color="auto" w:fill="FFFFFF"/>
        </w:rPr>
        <w:t>、申请经济学硕士学位及方法</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1、</w:t>
      </w:r>
      <w:r>
        <w:rPr>
          <w:rFonts w:ascii="_5b8b_4f53" w:hAnsi="_5b8b_4f53" w:eastAsia="_5b8b_4f53" w:cs="_5b8b_4f53"/>
          <w:color w:val="000000"/>
          <w:kern w:val="0"/>
          <w:sz w:val="18"/>
          <w:szCs w:val="18"/>
          <w:shd w:val="clear" w:color="auto" w:fill="FFFFFF"/>
        </w:rPr>
        <w:t>申请学位按照对外经济贸易大学研究生部学位办公室关于以研究生毕业同等学力申请硕士学位的规定办理。所交学费不包括进入论文阶段后的费用。</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、报名参加在职课程研修班学习的人员，可在报名时提出以研究生毕业同等学力申请硕士学位。</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3</w:t>
      </w:r>
      <w:r>
        <w:rPr>
          <w:rFonts w:ascii="_5b8b_4f53" w:hAnsi="_5b8b_4f53" w:eastAsia="_5b8b_4f53" w:cs="_5b8b_4f53"/>
          <w:color w:val="000000"/>
          <w:kern w:val="0"/>
          <w:sz w:val="18"/>
          <w:szCs w:val="18"/>
          <w:shd w:val="clear" w:color="auto" w:fill="FFFFFF"/>
        </w:rPr>
        <w:t>、国家统一组织的英语和经济学学科综合水平考试，由我院协助学员到研究生部办理手续，费用按规定由学员交纳。</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4</w:t>
      </w:r>
      <w:r>
        <w:rPr>
          <w:rFonts w:ascii="_5b8b_4f53" w:hAnsi="_5b8b_4f53" w:eastAsia="_5b8b_4f53" w:cs="_5b8b_4f53"/>
          <w:color w:val="000000"/>
          <w:kern w:val="0"/>
          <w:sz w:val="18"/>
          <w:szCs w:val="18"/>
          <w:shd w:val="clear" w:color="auto" w:fill="FFFFFF"/>
        </w:rPr>
        <w:t>、我院将为学员安排教师进行学位论文的指导。</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b/>
          <w:color w:val="000000"/>
          <w:kern w:val="0"/>
          <w:sz w:val="18"/>
          <w:szCs w:val="18"/>
          <w:shd w:val="clear" w:color="auto" w:fill="FFFFFF"/>
        </w:rPr>
        <w:t> </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八</w:t>
      </w:r>
      <w:r>
        <w:rPr>
          <w:rStyle w:val="6"/>
          <w:rFonts w:ascii="宋体" w:hAnsi="宋体" w:eastAsia="宋体" w:cs="宋体"/>
          <w:color w:val="000000"/>
          <w:sz w:val="24"/>
          <w:shd w:val="clear" w:color="auto" w:fill="FFFFFF"/>
        </w:rPr>
        <w:t>、报名手续：</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限额招生，额满为止。符合条件者免试入学。</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1、</w:t>
      </w:r>
      <w:r>
        <w:rPr>
          <w:rFonts w:ascii="_5b8b_4f53" w:hAnsi="_5b8b_4f53" w:eastAsia="_5b8b_4f53" w:cs="_5b8b_4f53"/>
          <w:color w:val="000000"/>
          <w:kern w:val="0"/>
          <w:sz w:val="18"/>
          <w:szCs w:val="18"/>
          <w:shd w:val="clear" w:color="auto" w:fill="FFFFFF"/>
        </w:rPr>
        <w:t>索取并填写在职课程研修班报名登记表；</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提供本人身份证原件与复印件一份、最高学历和学位证书原件与复印件一份；</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3、</w:t>
      </w:r>
      <w:r>
        <w:rPr>
          <w:rFonts w:ascii="_5b8b_4f53" w:hAnsi="_5b8b_4f53" w:eastAsia="_5b8b_4f53" w:cs="_5b8b_4f53"/>
          <w:color w:val="000000"/>
          <w:kern w:val="0"/>
          <w:sz w:val="18"/>
          <w:szCs w:val="18"/>
          <w:shd w:val="clear" w:color="auto" w:fill="FFFFFF"/>
        </w:rPr>
        <w:t>提交一寸、两寸免冠照片各2张；</w:t>
      </w:r>
    </w:p>
    <w:p>
      <w:pPr>
        <w:widowControl/>
        <w:shd w:val="clear" w:color="auto" w:fill="FFFFFF"/>
        <w:spacing w:beforeAutospacing="1" w:afterAutospacing="1" w:line="360" w:lineRule="atLeast"/>
        <w:ind w:left="360" w:hanging="360"/>
        <w:rPr>
          <w:rFonts w:ascii="_5b8b_4f53" w:hAnsi="_5b8b_4f53" w:eastAsia="_5b8b_4f53" w:cs="_5b8b_4f53"/>
          <w:color w:val="000000"/>
          <w:kern w:val="0"/>
          <w:sz w:val="18"/>
          <w:szCs w:val="18"/>
          <w:shd w:val="clear" w:color="auto" w:fill="FFFFFF"/>
        </w:rPr>
      </w:pPr>
      <w:r>
        <w:rPr>
          <w:rFonts w:ascii="Times New Roman" w:hAnsi="Times New Roman" w:eastAsia="宋体" w:cs="Times New Roman"/>
          <w:color w:val="000000"/>
          <w:kern w:val="0"/>
          <w:sz w:val="18"/>
          <w:szCs w:val="18"/>
          <w:shd w:val="clear" w:color="auto" w:fill="FFFFFF"/>
        </w:rPr>
        <w:t>4、</w:t>
      </w:r>
      <w:r>
        <w:rPr>
          <w:rFonts w:ascii="_5b8b_4f53" w:hAnsi="_5b8b_4f53" w:eastAsia="_5b8b_4f53" w:cs="_5b8b_4f53"/>
          <w:color w:val="000000"/>
          <w:kern w:val="0"/>
          <w:sz w:val="18"/>
          <w:szCs w:val="18"/>
          <w:shd w:val="clear" w:color="auto" w:fill="FFFFFF"/>
        </w:rPr>
        <w:t>学校对报名人员进行初步资格审查合格后，发放录取通知书。</w:t>
      </w:r>
    </w:p>
    <w:p>
      <w:pPr>
        <w:pStyle w:val="4"/>
        <w:widowControl/>
        <w:shd w:val="clear" w:color="auto" w:fill="FFFFFF"/>
        <w:spacing w:before="75" w:beforeAutospacing="0" w:after="75" w:afterAutospacing="0" w:line="420" w:lineRule="atLeast"/>
        <w:rPr>
          <w:rFonts w:ascii="_5b8b_4f53" w:hAnsi="_5b8b_4f53" w:eastAsia="_5b8b_4f53" w:cs="_5b8b_4f53"/>
          <w:color w:val="000000"/>
          <w:sz w:val="18"/>
          <w:szCs w:val="18"/>
          <w:shd w:val="clear" w:color="auto" w:fill="FFFFFF"/>
        </w:rPr>
      </w:pPr>
      <w:r>
        <w:rPr>
          <w:rFonts w:hint="eastAsia" w:ascii="宋体" w:hAnsi="宋体" w:eastAsia="宋体" w:cs="宋体"/>
          <w:color w:val="000000"/>
          <w:sz w:val="18"/>
          <w:szCs w:val="18"/>
          <w:shd w:val="clear" w:color="auto" w:fill="FFFFFF"/>
        </w:rPr>
        <w:t>5</w:t>
      </w:r>
      <w:r>
        <w:rPr>
          <w:rFonts w:hint="eastAsia" w:ascii="_5b8b_4f53" w:hAnsi="_5b8b_4f53" w:eastAsia="_5b8b_4f53" w:cs="_5b8b_4f53"/>
          <w:color w:val="000000"/>
          <w:sz w:val="18"/>
          <w:szCs w:val="18"/>
          <w:shd w:val="clear" w:color="auto" w:fill="FFFFFF"/>
        </w:rPr>
        <w:t>、银行汇款收费单位：对外经济贸易大学</w:t>
      </w:r>
    </w:p>
    <w:p>
      <w:pPr>
        <w:pStyle w:val="4"/>
        <w:widowControl/>
        <w:shd w:val="clear" w:color="auto" w:fill="FFFFFF"/>
        <w:spacing w:before="75" w:beforeAutospacing="0" w:after="75" w:afterAutospacing="0" w:line="420" w:lineRule="atLeast"/>
        <w:ind w:firstLine="420"/>
        <w:rPr>
          <w:rFonts w:ascii="_5b8b_4f53" w:hAnsi="_5b8b_4f53" w:eastAsia="_5b8b_4f53" w:cs="_5b8b_4f53"/>
          <w:color w:val="000000"/>
          <w:sz w:val="18"/>
          <w:szCs w:val="18"/>
          <w:shd w:val="clear" w:color="auto" w:fill="FFFFFF"/>
        </w:rPr>
      </w:pPr>
      <w:r>
        <w:rPr>
          <w:rFonts w:hint="eastAsia" w:ascii="_5b8b_4f53" w:hAnsi="_5b8b_4f53" w:eastAsia="_5b8b_4f53" w:cs="_5b8b_4f53"/>
          <w:color w:val="000000"/>
          <w:sz w:val="18"/>
          <w:szCs w:val="18"/>
          <w:shd w:val="clear" w:color="auto" w:fill="FFFFFF"/>
        </w:rPr>
        <w:t>开户银行：北京银行和平里支行</w:t>
      </w:r>
    </w:p>
    <w:p>
      <w:pPr>
        <w:pStyle w:val="4"/>
        <w:widowControl/>
        <w:shd w:val="clear" w:color="auto" w:fill="FFFFFF"/>
        <w:spacing w:before="75" w:beforeAutospacing="0" w:after="75" w:afterAutospacing="0" w:line="420" w:lineRule="atLeast"/>
        <w:ind w:firstLine="420"/>
        <w:rPr>
          <w:rFonts w:ascii="_5b8b_4f53" w:hAnsi="_5b8b_4f53" w:eastAsia="_5b8b_4f53" w:cs="_5b8b_4f53"/>
          <w:color w:val="000000"/>
          <w:sz w:val="18"/>
          <w:szCs w:val="18"/>
          <w:shd w:val="clear" w:color="auto" w:fill="FFFFFF"/>
        </w:rPr>
      </w:pPr>
      <w:r>
        <w:rPr>
          <w:rFonts w:hint="eastAsia" w:ascii="_5b8b_4f53" w:hAnsi="_5b8b_4f53" w:eastAsia="_5b8b_4f53" w:cs="_5b8b_4f53"/>
          <w:color w:val="000000"/>
          <w:sz w:val="18"/>
          <w:szCs w:val="18"/>
          <w:shd w:val="clear" w:color="auto" w:fill="FFFFFF"/>
        </w:rPr>
        <w:t>开户银行帐号：01090 3537 0012 0105 2621 26</w:t>
      </w:r>
    </w:p>
    <w:p>
      <w:pPr>
        <w:widowControl/>
        <w:shd w:val="clear" w:color="auto" w:fill="FFFFFF"/>
        <w:spacing w:beforeAutospacing="1" w:afterAutospacing="1" w:line="360" w:lineRule="atLeast"/>
        <w:ind w:left="360" w:hanging="360"/>
        <w:rPr>
          <w:rFonts w:ascii="_5b8b_4f53" w:hAnsi="_5b8b_4f53" w:eastAsia="_5b8b_4f53" w:cs="_5b8b_4f53"/>
          <w:color w:val="000000"/>
          <w:kern w:val="0"/>
          <w:sz w:val="18"/>
          <w:szCs w:val="18"/>
          <w:shd w:val="clear" w:color="auto" w:fill="FFFFFF"/>
        </w:rPr>
      </w:pPr>
      <w:r>
        <w:rPr>
          <w:rFonts w:hint="eastAsia" w:ascii="_5b8b_4f53" w:hAnsi="_5b8b_4f53" w:eastAsia="_5b8b_4f53" w:cs="_5b8b_4f53"/>
          <w:color w:val="000000"/>
          <w:kern w:val="0"/>
          <w:sz w:val="18"/>
          <w:szCs w:val="18"/>
          <w:shd w:val="clear" w:color="auto" w:fill="FFFFFF"/>
        </w:rPr>
        <w:t> 汇款须知：请注明学生姓名</w:t>
      </w:r>
    </w:p>
    <w:p>
      <w:pPr>
        <w:widowControl/>
        <w:shd w:val="clear" w:color="auto" w:fill="FFFFFF"/>
        <w:spacing w:beforeAutospacing="1" w:afterAutospacing="1" w:line="360" w:lineRule="atLeast"/>
        <w:rPr>
          <w:rFonts w:hint="eastAsia" w:ascii="_5b8b_4f53" w:hAnsi="_5b8b_4f53" w:cs="_5b8b_4f53"/>
          <w:color w:val="FF0000"/>
          <w:kern w:val="0"/>
          <w:sz w:val="18"/>
          <w:szCs w:val="18"/>
          <w:shd w:val="clear" w:color="auto" w:fill="FFFFFF"/>
        </w:rPr>
      </w:pPr>
      <w:bookmarkStart w:id="2" w:name="OLE_LINK4"/>
      <w:r>
        <w:rPr>
          <w:rFonts w:hint="eastAsia" w:ascii="_5b8b_4f53" w:hAnsi="_5b8b_4f53" w:cs="_5b8b_4f53"/>
          <w:color w:val="FF0000"/>
          <w:kern w:val="0"/>
          <w:sz w:val="18"/>
          <w:szCs w:val="18"/>
          <w:shd w:val="clear" w:color="auto" w:fill="FFFFFF"/>
        </w:rPr>
        <w:t>课程咨询：王老师、陈老师</w:t>
      </w:r>
    </w:p>
    <w:p>
      <w:pPr>
        <w:widowControl/>
        <w:shd w:val="clear" w:color="auto" w:fill="FFFFFF"/>
        <w:spacing w:beforeAutospacing="1" w:afterAutospacing="1" w:line="360" w:lineRule="atLeast"/>
        <w:rPr>
          <w:rFonts w:hint="eastAsia" w:ascii="_5b8b_4f53" w:hAnsi="_5b8b_4f53" w:cs="_5b8b_4f53"/>
          <w:color w:val="FF0000"/>
          <w:kern w:val="0"/>
          <w:sz w:val="18"/>
          <w:szCs w:val="18"/>
          <w:shd w:val="clear" w:color="auto" w:fill="FFFFFF"/>
        </w:rPr>
      </w:pPr>
      <w:r>
        <w:rPr>
          <w:rFonts w:hint="eastAsia" w:ascii="_5b8b_4f53" w:hAnsi="_5b8b_4f53" w:cs="_5b8b_4f53"/>
          <w:color w:val="FF0000"/>
          <w:kern w:val="0"/>
          <w:sz w:val="18"/>
          <w:szCs w:val="18"/>
          <w:shd w:val="clear" w:color="auto" w:fill="FFFFFF"/>
        </w:rPr>
        <w:t>电话： 010-59480917</w:t>
      </w:r>
    </w:p>
    <w:p>
      <w:pPr>
        <w:widowControl/>
        <w:shd w:val="clear" w:color="auto" w:fill="FFFFFF"/>
        <w:spacing w:beforeAutospacing="1" w:afterAutospacing="1" w:line="360" w:lineRule="atLeast"/>
        <w:ind w:left="360" w:hanging="360"/>
        <w:rPr>
          <w:rFonts w:hint="eastAsia"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cs="_5b8b_4f53" w:asciiTheme="minorEastAsia" w:hAnsiTheme="minorEastAsia"/>
          <w:color w:val="000000"/>
          <w:kern w:val="0"/>
          <w:sz w:val="18"/>
          <w:szCs w:val="18"/>
          <w:shd w:val="clear" w:color="auto" w:fill="FFFFFF"/>
        </w:rPr>
      </w:pPr>
    </w:p>
    <w:p>
      <w:pPr>
        <w:jc w:val="center"/>
        <w:rPr>
          <w:b/>
          <w:bCs/>
          <w:sz w:val="44"/>
          <w:szCs w:val="44"/>
        </w:rPr>
      </w:pPr>
      <w:r>
        <w:rPr>
          <w:rFonts w:hint="eastAsia" w:ascii="幼圆" w:eastAsia="幼圆"/>
          <w:b/>
          <w:bCs/>
          <w:sz w:val="44"/>
          <w:szCs w:val="44"/>
        </w:rPr>
        <w:t>高级课程研修班报名表</w:t>
      </w:r>
    </w:p>
    <w:p>
      <w:pPr>
        <w:spacing w:afterLines="50" w:line="360" w:lineRule="auto"/>
        <w:ind w:right="206" w:rightChars="98"/>
        <w:jc w:val="center"/>
        <w:rPr>
          <w:b/>
        </w:rPr>
      </w:pPr>
      <w:r>
        <w:rPr>
          <w:rFonts w:hint="eastAsia"/>
          <w:b/>
        </w:rPr>
        <w:t>填表日期：               班次：              编号：           信息来源：</w:t>
      </w:r>
    </w:p>
    <w:tbl>
      <w:tblPr>
        <w:tblStyle w:val="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12"/>
        <w:gridCol w:w="360"/>
        <w:gridCol w:w="2160"/>
        <w:gridCol w:w="900"/>
        <w:gridCol w:w="180"/>
        <w:gridCol w:w="108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12" w:space="0"/>
              <w:left w:val="single" w:color="auto" w:sz="12" w:space="0"/>
              <w:bottom w:val="single" w:color="auto" w:sz="4" w:space="0"/>
            </w:tcBorders>
            <w:vAlign w:val="center"/>
          </w:tcPr>
          <w:p>
            <w:pPr>
              <w:jc w:val="center"/>
            </w:pPr>
            <w:r>
              <w:rPr>
                <w:rFonts w:hint="eastAsia"/>
              </w:rPr>
              <w:t>姓   名</w:t>
            </w:r>
          </w:p>
        </w:tc>
        <w:tc>
          <w:tcPr>
            <w:tcW w:w="1872" w:type="dxa"/>
            <w:gridSpan w:val="2"/>
            <w:tcBorders>
              <w:top w:val="single" w:color="auto" w:sz="12" w:space="0"/>
              <w:bottom w:val="single" w:color="auto" w:sz="4" w:space="0"/>
            </w:tcBorders>
            <w:vAlign w:val="center"/>
          </w:tcPr>
          <w:p>
            <w:pPr>
              <w:jc w:val="center"/>
            </w:pPr>
          </w:p>
        </w:tc>
        <w:tc>
          <w:tcPr>
            <w:tcW w:w="2160" w:type="dxa"/>
            <w:tcBorders>
              <w:top w:val="single" w:color="auto" w:sz="12" w:space="0"/>
              <w:bottom w:val="single" w:color="auto" w:sz="4" w:space="0"/>
            </w:tcBorders>
            <w:vAlign w:val="center"/>
          </w:tcPr>
          <w:p>
            <w:pPr>
              <w:jc w:val="center"/>
            </w:pPr>
            <w:r>
              <w:rPr>
                <w:rFonts w:hint="eastAsia"/>
              </w:rPr>
              <w:t>性   别</w:t>
            </w:r>
          </w:p>
        </w:tc>
        <w:tc>
          <w:tcPr>
            <w:tcW w:w="2160" w:type="dxa"/>
            <w:gridSpan w:val="3"/>
            <w:tcBorders>
              <w:top w:val="single" w:color="auto" w:sz="12" w:space="0"/>
              <w:bottom w:val="single" w:color="auto" w:sz="4" w:space="0"/>
            </w:tcBorders>
            <w:vAlign w:val="center"/>
          </w:tcPr>
          <w:p>
            <w:pPr>
              <w:jc w:val="center"/>
            </w:pPr>
          </w:p>
        </w:tc>
        <w:tc>
          <w:tcPr>
            <w:tcW w:w="1620" w:type="dxa"/>
            <w:gridSpan w:val="2"/>
            <w:vMerge w:val="restart"/>
            <w:tcBorders>
              <w:top w:val="single" w:color="auto" w:sz="12" w:space="0"/>
              <w:right w:val="single" w:color="auto" w:sz="12" w:space="0"/>
            </w:tcBorders>
            <w:vAlign w:val="center"/>
          </w:tcPr>
          <w:p>
            <w:pPr>
              <w:ind w:firstLine="420" w:firstLineChars="200"/>
              <w:jc w:val="center"/>
            </w:pPr>
          </w:p>
          <w:p>
            <w:pPr>
              <w:ind w:firstLine="630" w:firstLineChars="300"/>
            </w:pPr>
            <w:r>
              <w:rPr>
                <w:rFonts w:hint="eastAsia"/>
              </w:rPr>
              <w:t>照</w:t>
            </w:r>
          </w:p>
          <w:p>
            <w:pPr>
              <w:ind w:firstLine="630" w:firstLineChars="300"/>
              <w:jc w:val="center"/>
            </w:pPr>
          </w:p>
          <w:p>
            <w:pPr>
              <w:ind w:firstLine="630" w:firstLineChars="300"/>
              <w:jc w:val="center"/>
            </w:pPr>
          </w:p>
          <w:p>
            <w:pPr>
              <w:ind w:firstLine="630" w:firstLineChars="300"/>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left w:val="single" w:color="auto" w:sz="12" w:space="0"/>
              <w:bottom w:val="single" w:color="auto" w:sz="4" w:space="0"/>
            </w:tcBorders>
            <w:vAlign w:val="center"/>
          </w:tcPr>
          <w:p>
            <w:pPr>
              <w:jc w:val="center"/>
            </w:pPr>
            <w:r>
              <w:rPr>
                <w:rFonts w:hint="eastAsia"/>
              </w:rPr>
              <w:t>出生日期</w:t>
            </w:r>
          </w:p>
        </w:tc>
        <w:tc>
          <w:tcPr>
            <w:tcW w:w="1872" w:type="dxa"/>
            <w:gridSpan w:val="2"/>
            <w:tcBorders>
              <w:bottom w:val="single" w:color="auto" w:sz="4" w:space="0"/>
            </w:tcBorders>
            <w:vAlign w:val="center"/>
          </w:tcPr>
          <w:p>
            <w:pPr>
              <w:jc w:val="center"/>
            </w:pPr>
          </w:p>
        </w:tc>
        <w:tc>
          <w:tcPr>
            <w:tcW w:w="2160" w:type="dxa"/>
            <w:tcBorders>
              <w:bottom w:val="single" w:color="auto" w:sz="4" w:space="0"/>
            </w:tcBorders>
            <w:vAlign w:val="center"/>
          </w:tcPr>
          <w:p>
            <w:pPr>
              <w:jc w:val="center"/>
            </w:pPr>
            <w:r>
              <w:rPr>
                <w:rFonts w:hint="eastAsia"/>
              </w:rPr>
              <w:t>民   族</w:t>
            </w:r>
          </w:p>
        </w:tc>
        <w:tc>
          <w:tcPr>
            <w:tcW w:w="2160" w:type="dxa"/>
            <w:gridSpan w:val="3"/>
            <w:tcBorders>
              <w:bottom w:val="single" w:color="auto" w:sz="4" w:space="0"/>
            </w:tcBorders>
            <w:vAlign w:val="center"/>
          </w:tcPr>
          <w:p>
            <w:pPr>
              <w:jc w:val="center"/>
            </w:pPr>
          </w:p>
        </w:tc>
        <w:tc>
          <w:tcPr>
            <w:tcW w:w="1620" w:type="dxa"/>
            <w:gridSpan w:val="2"/>
            <w:vMerge w:val="continue"/>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籍   贯</w:t>
            </w:r>
          </w:p>
        </w:tc>
        <w:tc>
          <w:tcPr>
            <w:tcW w:w="1872" w:type="dxa"/>
            <w:gridSpan w:val="2"/>
            <w:tcBorders>
              <w:top w:val="single" w:color="auto" w:sz="4" w:space="0"/>
              <w:bottom w:val="single" w:color="auto" w:sz="4" w:space="0"/>
            </w:tcBorders>
            <w:vAlign w:val="center"/>
          </w:tcPr>
          <w:p>
            <w:pPr>
              <w:jc w:val="center"/>
            </w:pPr>
          </w:p>
        </w:tc>
        <w:tc>
          <w:tcPr>
            <w:tcW w:w="2160" w:type="dxa"/>
            <w:tcBorders>
              <w:bottom w:val="single" w:color="auto" w:sz="4" w:space="0"/>
            </w:tcBorders>
            <w:vAlign w:val="center"/>
          </w:tcPr>
          <w:p>
            <w:pPr>
              <w:jc w:val="center"/>
            </w:pPr>
            <w:r>
              <w:rPr>
                <w:rFonts w:hint="eastAsia"/>
              </w:rPr>
              <w:t>政治面貌</w:t>
            </w:r>
          </w:p>
        </w:tc>
        <w:tc>
          <w:tcPr>
            <w:tcW w:w="2160" w:type="dxa"/>
            <w:gridSpan w:val="3"/>
            <w:tcBorders>
              <w:bottom w:val="single" w:color="auto" w:sz="4" w:space="0"/>
            </w:tcBorders>
            <w:vAlign w:val="center"/>
          </w:tcPr>
          <w:p>
            <w:pPr>
              <w:jc w:val="center"/>
            </w:pPr>
          </w:p>
        </w:tc>
        <w:tc>
          <w:tcPr>
            <w:tcW w:w="1620" w:type="dxa"/>
            <w:gridSpan w:val="2"/>
            <w:vMerge w:val="continue"/>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最后学历</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外语语种</w:t>
            </w:r>
          </w:p>
        </w:tc>
        <w:tc>
          <w:tcPr>
            <w:tcW w:w="2160" w:type="dxa"/>
            <w:gridSpan w:val="3"/>
            <w:tcBorders>
              <w:top w:val="single" w:color="auto" w:sz="4" w:space="0"/>
              <w:bottom w:val="single" w:color="auto" w:sz="4" w:space="0"/>
            </w:tcBorders>
            <w:vAlign w:val="center"/>
          </w:tcPr>
          <w:p>
            <w:pPr>
              <w:jc w:val="center"/>
            </w:pPr>
          </w:p>
        </w:tc>
        <w:tc>
          <w:tcPr>
            <w:tcW w:w="1620" w:type="dxa"/>
            <w:gridSpan w:val="2"/>
            <w:vMerge w:val="continue"/>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毕业学校</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专   业</w:t>
            </w:r>
          </w:p>
        </w:tc>
        <w:tc>
          <w:tcPr>
            <w:tcW w:w="2160" w:type="dxa"/>
            <w:gridSpan w:val="3"/>
            <w:tcBorders>
              <w:top w:val="single" w:color="auto" w:sz="4" w:space="0"/>
              <w:bottom w:val="single" w:color="auto" w:sz="4" w:space="0"/>
            </w:tcBorders>
            <w:vAlign w:val="center"/>
          </w:tcPr>
          <w:p>
            <w:pPr>
              <w:jc w:val="center"/>
            </w:pPr>
          </w:p>
        </w:tc>
        <w:tc>
          <w:tcPr>
            <w:tcW w:w="1620" w:type="dxa"/>
            <w:gridSpan w:val="2"/>
            <w:vMerge w:val="continue"/>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学   位</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身份证号码</w:t>
            </w:r>
          </w:p>
        </w:tc>
        <w:tc>
          <w:tcPr>
            <w:tcW w:w="3780" w:type="dxa"/>
            <w:gridSpan w:val="5"/>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毕业时间</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婚姻状况</w:t>
            </w:r>
          </w:p>
        </w:tc>
        <w:tc>
          <w:tcPr>
            <w:tcW w:w="3780" w:type="dxa"/>
            <w:gridSpan w:val="5"/>
            <w:tcBorders>
              <w:top w:val="single" w:color="auto" w:sz="4" w:space="0"/>
              <w:bottom w:val="single" w:color="auto" w:sz="4" w:space="0"/>
              <w:right w:val="single" w:color="auto" w:sz="12" w:space="0"/>
            </w:tcBorders>
            <w:vAlign w:val="center"/>
          </w:tcPr>
          <w:p>
            <w:pPr>
              <w:ind w:firstLine="420" w:firstLineChars="200"/>
              <w:rPr>
                <w:lang w:val="zh-CN"/>
              </w:rPr>
            </w:pPr>
            <w:r>
              <w:rPr>
                <w:lang w:val="zh-CN"/>
              </w:rPr>
              <w:pict>
                <v:rect id="Rectangle 2" o:spid="_x0000_s2051" o:spt="1" style="position:absolute;left:0pt;margin-left:120.6pt;margin-top:6.7pt;height:7.8pt;width:9pt;z-index:251661312;mso-width-relative:page;mso-height-relative:page;" coordsize="21600,21600">
                  <v:path/>
                  <v:fill focussize="0,0"/>
                  <v:stroke/>
                  <v:imagedata o:title=""/>
                  <o:lock v:ext="edit"/>
                </v:rect>
              </w:pict>
            </w:r>
            <w:r>
              <w:rPr>
                <w:lang w:val="zh-CN"/>
              </w:rPr>
              <w:pict>
                <v:rect id="Rectangle 3" o:spid="_x0000_s2050" o:spt="1" style="position:absolute;left:0pt;margin-left:39.6pt;margin-top:6.7pt;height:7.8pt;width:9pt;z-index:251660288;mso-width-relative:page;mso-height-relative:page;" coordsize="21600,21600">
                  <v:path/>
                  <v:fill focussize="0,0"/>
                  <v:stroke/>
                  <v:imagedata o:title=""/>
                  <o:lock v:ext="edit"/>
                </v:rect>
              </w:pict>
            </w:r>
            <w:r>
              <w:rPr>
                <w:rFonts w:hint="eastAsia"/>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tcBorders>
            <w:vAlign w:val="center"/>
          </w:tcPr>
          <w:p>
            <w:pPr>
              <w:jc w:val="center"/>
            </w:pPr>
            <w:r>
              <w:rPr>
                <w:rFonts w:hint="eastAsia"/>
              </w:rPr>
              <w:t>学费支付</w:t>
            </w:r>
          </w:p>
        </w:tc>
        <w:tc>
          <w:tcPr>
            <w:tcW w:w="1872" w:type="dxa"/>
            <w:gridSpan w:val="2"/>
            <w:tcBorders>
              <w:top w:val="single" w:color="auto" w:sz="4" w:space="0"/>
              <w:bottom w:val="single" w:color="auto" w:sz="4" w:space="0"/>
            </w:tcBorders>
            <w:vAlign w:val="center"/>
          </w:tcPr>
          <w:p>
            <w:r>
              <w:rPr>
                <w:lang w:val="zh-CN"/>
              </w:rPr>
              <w:pict>
                <v:rect id="Rectangle 4" o:spid="_x0000_s2053" o:spt="1" style="position:absolute;left:0pt;margin-left:70.2pt;margin-top:6.75pt;height:7.8pt;width:9pt;z-index:251663360;mso-width-relative:page;mso-height-relative:page;" coordsize="21600,21600">
                  <v:path/>
                  <v:fill focussize="0,0"/>
                  <v:stroke/>
                  <v:imagedata o:title=""/>
                  <o:lock v:ext="edit"/>
                </v:rect>
              </w:pict>
            </w:r>
            <w:r>
              <w:rPr>
                <w:lang w:val="zh-CN"/>
              </w:rPr>
              <w:pict>
                <v:rect id="Rectangle 5" o:spid="_x0000_s2052" o:spt="1" style="position:absolute;left:0pt;margin-left:25.6pt;margin-top:6.7pt;height:7.8pt;width:9pt;z-index:251662336;mso-width-relative:page;mso-height-relative:page;" coordsize="21600,21600">
                  <v:path/>
                  <v:fill focussize="0,0"/>
                  <v:stroke/>
                  <v:imagedata o:title=""/>
                  <o:lock v:ext="edit"/>
                </v:rect>
              </w:pict>
            </w:r>
            <w:r>
              <w:rPr>
                <w:rFonts w:hint="eastAsia"/>
              </w:rPr>
              <w:t>个人     单位</w:t>
            </w:r>
          </w:p>
        </w:tc>
        <w:tc>
          <w:tcPr>
            <w:tcW w:w="2160" w:type="dxa"/>
            <w:tcBorders>
              <w:top w:val="single" w:color="auto" w:sz="4" w:space="0"/>
              <w:bottom w:val="single" w:color="auto" w:sz="4" w:space="0"/>
            </w:tcBorders>
            <w:vAlign w:val="center"/>
          </w:tcPr>
          <w:p>
            <w:pPr>
              <w:jc w:val="center"/>
            </w:pPr>
            <w:r>
              <w:rPr>
                <w:rFonts w:hint="eastAsia"/>
              </w:rPr>
              <w:t>报名专业</w:t>
            </w:r>
          </w:p>
        </w:tc>
        <w:tc>
          <w:tcPr>
            <w:tcW w:w="3780" w:type="dxa"/>
            <w:gridSpan w:val="5"/>
            <w:tcBorders>
              <w:top w:val="single" w:color="auto" w:sz="4" w:space="0"/>
              <w:bottom w:val="single" w:color="auto" w:sz="4" w:space="0"/>
              <w:right w:val="single" w:color="auto" w:sz="12" w:space="0"/>
            </w:tcBorders>
            <w:vAlign w:val="center"/>
          </w:tcPr>
          <w:p>
            <w:pPr>
              <w:ind w:firstLine="105" w:firstLineChars="50"/>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restart"/>
            <w:tcBorders>
              <w:top w:val="single" w:color="auto" w:sz="4" w:space="0"/>
              <w:left w:val="single" w:color="auto" w:sz="12" w:space="0"/>
            </w:tcBorders>
            <w:vAlign w:val="center"/>
          </w:tcPr>
          <w:p>
            <w:pPr>
              <w:ind w:firstLine="315" w:firstLineChars="150"/>
            </w:pPr>
            <w:r>
              <w:rPr>
                <w:rFonts w:hint="eastAsia"/>
              </w:rPr>
              <w:t>联  系</w:t>
            </w:r>
          </w:p>
          <w:p/>
          <w:p/>
          <w:p>
            <w:pPr>
              <w:ind w:firstLine="315" w:firstLineChars="150"/>
            </w:pPr>
            <w:r>
              <w:rPr>
                <w:rFonts w:hint="eastAsia"/>
              </w:rPr>
              <w:t>方  式</w:t>
            </w:r>
          </w:p>
        </w:tc>
        <w:tc>
          <w:tcPr>
            <w:tcW w:w="1872" w:type="dxa"/>
            <w:gridSpan w:val="2"/>
            <w:tcBorders>
              <w:top w:val="single" w:color="auto" w:sz="4" w:space="0"/>
              <w:bottom w:val="single" w:color="auto" w:sz="4" w:space="0"/>
            </w:tcBorders>
            <w:vAlign w:val="center"/>
          </w:tcPr>
          <w:p>
            <w:pPr>
              <w:ind w:firstLine="210" w:firstLineChars="100"/>
            </w:pPr>
            <w:r>
              <w:rPr>
                <w:rFonts w:hint="eastAsia"/>
              </w:rPr>
              <w:t>家 庭 电 话</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手  机</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办公室电话</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传  真</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紧急联系人1</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电  话</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紧急联系人2</w:t>
            </w:r>
          </w:p>
        </w:tc>
        <w:tc>
          <w:tcPr>
            <w:tcW w:w="2160" w:type="dxa"/>
            <w:tcBorders>
              <w:top w:val="single" w:color="auto" w:sz="4" w:space="0"/>
              <w:bottom w:val="single" w:color="auto" w:sz="4" w:space="0"/>
              <w:right w:val="single" w:color="auto" w:sz="4" w:space="0"/>
            </w:tcBorders>
            <w:vAlign w:val="center"/>
          </w:tcPr>
          <w:p>
            <w:pPr>
              <w:jc w:val="center"/>
            </w:pPr>
          </w:p>
        </w:tc>
        <w:tc>
          <w:tcPr>
            <w:tcW w:w="1080" w:type="dxa"/>
            <w:gridSpan w:val="2"/>
            <w:tcBorders>
              <w:top w:val="single" w:color="auto" w:sz="4" w:space="0"/>
              <w:left w:val="single" w:color="auto" w:sz="4" w:space="0"/>
              <w:bottom w:val="single" w:color="auto" w:sz="4" w:space="0"/>
            </w:tcBorders>
            <w:vAlign w:val="center"/>
          </w:tcPr>
          <w:p>
            <w:pPr>
              <w:jc w:val="center"/>
            </w:pPr>
            <w:r>
              <w:rPr>
                <w:rFonts w:hint="eastAsia"/>
              </w:rPr>
              <w:t>电  话</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bottom w:val="single" w:color="auto" w:sz="4"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邮 政 编 码</w:t>
            </w:r>
          </w:p>
        </w:tc>
        <w:tc>
          <w:tcPr>
            <w:tcW w:w="2160" w:type="dxa"/>
            <w:tcBorders>
              <w:top w:val="single" w:color="auto" w:sz="4" w:space="0"/>
              <w:bottom w:val="single" w:color="auto" w:sz="4" w:space="0"/>
              <w:right w:val="single" w:color="auto" w:sz="4" w:space="0"/>
            </w:tcBorders>
            <w:vAlign w:val="center"/>
          </w:tcPr>
          <w:p>
            <w:pPr>
              <w:jc w:val="center"/>
            </w:pPr>
          </w:p>
        </w:tc>
        <w:tc>
          <w:tcPr>
            <w:tcW w:w="1080" w:type="dxa"/>
            <w:gridSpan w:val="2"/>
            <w:tcBorders>
              <w:top w:val="single" w:color="auto" w:sz="4" w:space="0"/>
              <w:left w:val="single" w:color="auto" w:sz="4" w:space="0"/>
              <w:bottom w:val="single" w:color="auto" w:sz="4" w:space="0"/>
            </w:tcBorders>
            <w:vAlign w:val="center"/>
          </w:tcPr>
          <w:p>
            <w:pPr>
              <w:jc w:val="center"/>
            </w:pPr>
            <w:r>
              <w:rPr>
                <w:rFonts w:hint="eastAsia"/>
              </w:rPr>
              <w:t>E—mail</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详 细 通 讯</w:t>
            </w:r>
          </w:p>
          <w:p>
            <w:pPr>
              <w:jc w:val="center"/>
            </w:pPr>
            <w:r>
              <w:rPr>
                <w:rFonts w:hint="eastAsia"/>
              </w:rPr>
              <w:t>地       址</w:t>
            </w:r>
          </w:p>
        </w:tc>
        <w:tc>
          <w:tcPr>
            <w:tcW w:w="7812" w:type="dxa"/>
            <w:gridSpan w:val="8"/>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restart"/>
            <w:tcBorders>
              <w:top w:val="single" w:color="auto" w:sz="4" w:space="0"/>
              <w:left w:val="single" w:color="auto" w:sz="12" w:space="0"/>
            </w:tcBorders>
            <w:vAlign w:val="center"/>
          </w:tcPr>
          <w:p>
            <w:pPr>
              <w:jc w:val="center"/>
            </w:pPr>
          </w:p>
          <w:p>
            <w:pPr>
              <w:jc w:val="center"/>
            </w:pPr>
            <w:r>
              <w:rPr>
                <w:rFonts w:hint="eastAsia"/>
              </w:rPr>
              <w:t>工  作</w:t>
            </w:r>
          </w:p>
          <w:p>
            <w:pPr>
              <w:jc w:val="center"/>
            </w:pPr>
          </w:p>
          <w:p>
            <w:pPr>
              <w:jc w:val="center"/>
            </w:pPr>
          </w:p>
          <w:p>
            <w:pPr>
              <w:jc w:val="center"/>
            </w:pPr>
            <w:r>
              <w:rPr>
                <w:rFonts w:hint="eastAsia"/>
              </w:rPr>
              <w:t>履  历</w:t>
            </w:r>
          </w:p>
        </w:tc>
        <w:tc>
          <w:tcPr>
            <w:tcW w:w="1512" w:type="dxa"/>
            <w:tcBorders>
              <w:top w:val="single" w:color="auto" w:sz="4" w:space="0"/>
            </w:tcBorders>
            <w:vAlign w:val="center"/>
          </w:tcPr>
          <w:p>
            <w:pPr>
              <w:jc w:val="center"/>
            </w:pPr>
            <w:r>
              <w:rPr>
                <w:rFonts w:hint="eastAsia"/>
              </w:rPr>
              <w:t>起 止 时 间</w:t>
            </w:r>
          </w:p>
        </w:tc>
        <w:tc>
          <w:tcPr>
            <w:tcW w:w="3420" w:type="dxa"/>
            <w:gridSpan w:val="3"/>
            <w:tcBorders>
              <w:top w:val="single" w:color="auto" w:sz="4" w:space="0"/>
            </w:tcBorders>
            <w:vAlign w:val="center"/>
          </w:tcPr>
          <w:p>
            <w:pPr>
              <w:ind w:firstLine="630" w:firstLineChars="300"/>
            </w:pPr>
            <w:r>
              <w:rPr>
                <w:rFonts w:hint="eastAsia"/>
              </w:rPr>
              <w:t>单   位   名   称</w:t>
            </w:r>
          </w:p>
        </w:tc>
        <w:tc>
          <w:tcPr>
            <w:tcW w:w="1440" w:type="dxa"/>
            <w:gridSpan w:val="3"/>
            <w:tcBorders>
              <w:top w:val="single" w:color="auto" w:sz="4" w:space="0"/>
            </w:tcBorders>
            <w:vAlign w:val="center"/>
          </w:tcPr>
          <w:p>
            <w:pPr>
              <w:jc w:val="center"/>
            </w:pPr>
            <w:r>
              <w:rPr>
                <w:rFonts w:hint="eastAsia"/>
              </w:rPr>
              <w:t>职 位 职 务</w:t>
            </w:r>
          </w:p>
        </w:tc>
        <w:tc>
          <w:tcPr>
            <w:tcW w:w="1440" w:type="dxa"/>
            <w:tcBorders>
              <w:top w:val="single" w:color="auto" w:sz="4" w:space="0"/>
              <w:right w:val="single" w:color="auto" w:sz="12" w:space="0"/>
            </w:tcBorders>
            <w:vAlign w:val="center"/>
          </w:tcPr>
          <w:p>
            <w:pPr>
              <w:jc w:val="center"/>
            </w:pPr>
            <w:r>
              <w:rPr>
                <w:rFonts w:hint="eastAsia"/>
              </w:rPr>
              <w:t>所 属 行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bottom w:val="single" w:color="auto" w:sz="4" w:space="0"/>
            </w:tcBorders>
            <w:vAlign w:val="center"/>
          </w:tcPr>
          <w:p>
            <w:pPr>
              <w:jc w:val="center"/>
            </w:pPr>
          </w:p>
        </w:tc>
        <w:tc>
          <w:tcPr>
            <w:tcW w:w="1512" w:type="dxa"/>
            <w:tcBorders>
              <w:bottom w:val="single" w:color="auto" w:sz="4" w:space="0"/>
            </w:tcBorders>
            <w:vAlign w:val="center"/>
          </w:tcPr>
          <w:p>
            <w:pPr>
              <w:jc w:val="center"/>
            </w:pPr>
          </w:p>
        </w:tc>
        <w:tc>
          <w:tcPr>
            <w:tcW w:w="3420" w:type="dxa"/>
            <w:gridSpan w:val="3"/>
            <w:tcBorders>
              <w:bottom w:val="single" w:color="auto" w:sz="4" w:space="0"/>
            </w:tcBorders>
            <w:vAlign w:val="center"/>
          </w:tcPr>
          <w:p>
            <w:pPr>
              <w:jc w:val="center"/>
            </w:pPr>
          </w:p>
        </w:tc>
        <w:tc>
          <w:tcPr>
            <w:tcW w:w="1440" w:type="dxa"/>
            <w:gridSpan w:val="3"/>
            <w:tcBorders>
              <w:bottom w:val="single" w:color="auto" w:sz="4" w:space="0"/>
            </w:tcBorders>
            <w:vAlign w:val="center"/>
          </w:tcPr>
          <w:p>
            <w:pPr>
              <w:jc w:val="center"/>
            </w:pPr>
          </w:p>
        </w:tc>
        <w:tc>
          <w:tcPr>
            <w:tcW w:w="1440" w:type="dxa"/>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8"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资  格</w:t>
            </w:r>
          </w:p>
          <w:p>
            <w:pPr>
              <w:jc w:val="center"/>
            </w:pPr>
          </w:p>
          <w:p>
            <w:pPr>
              <w:jc w:val="center"/>
            </w:pPr>
            <w:r>
              <w:rPr>
                <w:rFonts w:hint="eastAsia"/>
              </w:rPr>
              <w:t>审  核</w:t>
            </w:r>
          </w:p>
          <w:p>
            <w:pPr>
              <w:jc w:val="center"/>
            </w:pPr>
          </w:p>
          <w:p>
            <w:pPr>
              <w:jc w:val="center"/>
            </w:pPr>
            <w:r>
              <w:rPr>
                <w:rFonts w:hint="eastAsia"/>
              </w:rPr>
              <w:t>意  见</w:t>
            </w:r>
          </w:p>
        </w:tc>
        <w:tc>
          <w:tcPr>
            <w:tcW w:w="7812" w:type="dxa"/>
            <w:gridSpan w:val="8"/>
            <w:tcBorders>
              <w:top w:val="single" w:color="auto" w:sz="4" w:space="0"/>
              <w:bottom w:val="single" w:color="auto" w:sz="4" w:space="0"/>
              <w:right w:val="single" w:color="auto" w:sz="12" w:space="0"/>
            </w:tcBorders>
            <w:vAlign w:val="center"/>
          </w:tcPr>
          <w:p>
            <w:pPr>
              <w:jc w:val="center"/>
            </w:pPr>
          </w:p>
          <w:p>
            <w:pPr>
              <w:jc w:val="center"/>
            </w:pPr>
          </w:p>
          <w:p>
            <w:pPr>
              <w:ind w:firstLine="4410" w:firstLineChars="2100"/>
              <w:jc w:val="center"/>
            </w:pPr>
            <w:r>
              <w:rPr>
                <w:rFonts w:hint="eastAsia"/>
              </w:rPr>
              <w:t>录取单位签字盖章</w:t>
            </w:r>
          </w:p>
          <w:p/>
          <w:p>
            <w:pPr>
              <w:jc w:val="center"/>
            </w:pPr>
            <w:r>
              <w:rPr>
                <w:rFonts w:hint="eastAsia"/>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548" w:type="dxa"/>
            <w:tcBorders>
              <w:top w:val="single" w:color="auto" w:sz="4" w:space="0"/>
              <w:left w:val="single" w:color="auto" w:sz="12" w:space="0"/>
              <w:bottom w:val="single" w:color="auto" w:sz="12" w:space="0"/>
            </w:tcBorders>
            <w:vAlign w:val="center"/>
          </w:tcPr>
          <w:p>
            <w:pPr>
              <w:jc w:val="center"/>
            </w:pPr>
            <w:r>
              <w:rPr>
                <w:rFonts w:hint="eastAsia"/>
              </w:rPr>
              <w:t>发票抬头</w:t>
            </w:r>
          </w:p>
        </w:tc>
        <w:tc>
          <w:tcPr>
            <w:tcW w:w="7812" w:type="dxa"/>
            <w:gridSpan w:val="8"/>
            <w:tcBorders>
              <w:top w:val="single" w:color="auto" w:sz="4" w:space="0"/>
              <w:bottom w:val="single" w:color="auto" w:sz="12" w:space="0"/>
              <w:right w:val="single" w:color="auto" w:sz="12" w:space="0"/>
            </w:tcBorders>
            <w:vAlign w:val="center"/>
          </w:tcPr>
          <w:p>
            <w:pPr>
              <w:jc w:val="center"/>
            </w:pPr>
          </w:p>
        </w:tc>
      </w:tr>
      <w:bookmarkEnd w:id="2"/>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9ed1_4f53">
    <w:altName w:val="Times New Roman"/>
    <w:panose1 w:val="00000000000000000000"/>
    <w:charset w:val="00"/>
    <w:family w:val="auto"/>
    <w:pitch w:val="default"/>
    <w:sig w:usb0="00000000" w:usb1="00000000" w:usb2="00000000" w:usb3="00000000" w:csb0="00000000" w:csb1="00000000"/>
  </w:font>
  <w:font w:name="_4eff_5b8b_GB2312">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_5b8b_4f53">
    <w:altName w:val="Times New Roman"/>
    <w:panose1 w:val="00000000000000000000"/>
    <w:charset w:val="00"/>
    <w:family w:val="auto"/>
    <w:pitch w:val="default"/>
    <w:sig w:usb0="00000000" w:usb1="00000000" w:usb2="00000000" w:usb3="00000000" w:csb0="00000000" w:csb1="00000000"/>
  </w:font>
  <w:font w:name="幼圆">
    <w:altName w:val="宋体"/>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D1496"/>
    <w:rsid w:val="000A53F3"/>
    <w:rsid w:val="003D4279"/>
    <w:rsid w:val="007A19A5"/>
    <w:rsid w:val="0082673A"/>
    <w:rsid w:val="00AD1496"/>
    <w:rsid w:val="00C44A87"/>
    <w:rsid w:val="00D67AF1"/>
    <w:rsid w:val="00D77B5F"/>
    <w:rsid w:val="00D82C18"/>
    <w:rsid w:val="03CF7EA1"/>
    <w:rsid w:val="148B69C0"/>
    <w:rsid w:val="187D1CCA"/>
    <w:rsid w:val="298107FF"/>
    <w:rsid w:val="2CED3351"/>
    <w:rsid w:val="2D325EF8"/>
    <w:rsid w:val="39D579F8"/>
    <w:rsid w:val="3BAC4D31"/>
    <w:rsid w:val="40685E58"/>
    <w:rsid w:val="4C9F59B8"/>
    <w:rsid w:val="51411687"/>
    <w:rsid w:val="5BA814CE"/>
    <w:rsid w:val="5DD14D9D"/>
    <w:rsid w:val="5EE609C8"/>
    <w:rsid w:val="5F9E75BA"/>
    <w:rsid w:val="6C6D110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356</Words>
  <Characters>2030</Characters>
  <Lines>16</Lines>
  <Paragraphs>4</Paragraphs>
  <ScaleCrop>false</ScaleCrop>
  <LinksUpToDate>false</LinksUpToDate>
  <CharactersWithSpaces>2382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2017-03-24T05:25:55Z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