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资本市场与投融资实务</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pStyle w:val="4"/>
        <w:widowControl/>
        <w:shd w:val="clear" w:color="auto" w:fill="FFFFFF"/>
        <w:spacing w:line="420" w:lineRule="atLeas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帮助学员建立在金融学理论方面的厚实功底，为学员拓展资本运作思路，剖析金融投资模式，培养具有扎实的金融学理论基础，掌握银行、证券、保险、投资等金融业务与创新的前沿理论和实务的复合型高级人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numPr>
          <w:ilvl w:val="0"/>
          <w:numId w:val="1"/>
        </w:numPr>
        <w:shd w:val="clear" w:color="auto" w:fill="FFFFFF"/>
        <w:spacing w:beforeAutospacing="1" w:afterAutospacing="1" w:line="360" w:lineRule="atLeast"/>
        <w:rPr>
          <w:rFonts w:ascii="宋体" w:hAnsi="宋体" w:eastAsia="宋体" w:cs="宋体"/>
          <w:b/>
          <w:color w:val="000000"/>
          <w:kern w:val="0"/>
          <w:sz w:val="18"/>
          <w:szCs w:val="18"/>
        </w:rPr>
      </w:pPr>
      <w:r>
        <w:rPr>
          <w:rStyle w:val="6"/>
          <w:rFonts w:hint="eastAsia" w:ascii="宋体" w:hAnsi="宋体" w:eastAsia="宋体" w:cs="宋体"/>
          <w:color w:val="000000"/>
          <w:sz w:val="24"/>
          <w:shd w:val="clear" w:color="auto" w:fill="FFFFFF"/>
        </w:rPr>
        <w:t>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资本市场与投融资实务</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 xml:space="preserve">   课程设置</w:t>
      </w:r>
    </w:p>
    <w:tbl>
      <w:tblPr>
        <w:tblStyle w:val="7"/>
        <w:tblW w:w="8960" w:type="dxa"/>
        <w:tblInd w:w="0" w:type="dxa"/>
        <w:tblLayout w:type="fixed"/>
        <w:tblCellMar>
          <w:top w:w="15" w:type="dxa"/>
          <w:left w:w="15" w:type="dxa"/>
          <w:bottom w:w="15" w:type="dxa"/>
          <w:right w:w="15" w:type="dxa"/>
        </w:tblCellMar>
      </w:tblPr>
      <w:tblGrid>
        <w:gridCol w:w="2205"/>
        <w:gridCol w:w="3265"/>
        <w:gridCol w:w="3490"/>
      </w:tblGrid>
      <w:tr>
        <w:tblPrEx>
          <w:tblLayout w:type="fixed"/>
          <w:tblCellMar>
            <w:top w:w="15" w:type="dxa"/>
            <w:left w:w="15" w:type="dxa"/>
            <w:bottom w:w="15" w:type="dxa"/>
            <w:right w:w="15" w:type="dxa"/>
          </w:tblCellMar>
        </w:tblPrEx>
        <w:trPr>
          <w:trHeight w:val="2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c>
          <w:tcPr>
            <w:tcW w:w="3265" w:type="dxa"/>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课程释义</w:t>
            </w:r>
          </w:p>
        </w:tc>
      </w:tr>
      <w:tr>
        <w:tblPrEx>
          <w:tblLayout w:type="fixed"/>
          <w:tblCellMar>
            <w:top w:w="15" w:type="dxa"/>
            <w:left w:w="15" w:type="dxa"/>
            <w:bottom w:w="15" w:type="dxa"/>
            <w:right w:w="15" w:type="dxa"/>
          </w:tblCellMar>
        </w:tblPrEx>
        <w:trPr>
          <w:trHeight w:val="527" w:hRule="atLeast"/>
        </w:trPr>
        <w:tc>
          <w:tcPr>
            <w:tcW w:w="2205" w:type="dxa"/>
            <w:vMerge w:val="restart"/>
            <w:tcBorders>
              <w:left w:val="single" w:color="000000" w:sz="12" w:space="0"/>
              <w:bottom w:val="single" w:color="000000" w:sz="12"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学位课程</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微观经济学</w:t>
            </w:r>
          </w:p>
        </w:tc>
        <w:tc>
          <w:tcPr>
            <w:tcW w:w="3490" w:type="dxa"/>
            <w:vMerge w:val="restart"/>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1）帮助学员熟悉经济学基础学科，为金融专业课程的学习建立系统性、完整性的基础；             2）即研究生同等学力人员申请硕士学位全国统一考试经济学综合和英语的考试内容。</w:t>
            </w: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宏观经济学</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社会主义经济理论</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国际经济学</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货币银行学</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295"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财政学</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295"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英语</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295" w:hRule="atLeast"/>
        </w:trPr>
        <w:tc>
          <w:tcPr>
            <w:tcW w:w="2205" w:type="dxa"/>
            <w:vMerge w:val="restart"/>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jc w:val="center"/>
            </w:pPr>
            <w:r>
              <w:rPr>
                <w:rFonts w:hint="eastAsia" w:ascii="宋体" w:hAnsi="宋体" w:eastAsia="宋体" w:cs="宋体"/>
                <w:b/>
                <w:color w:val="000000"/>
                <w:szCs w:val="21"/>
              </w:rPr>
              <w:t>专业课</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735"/>
              </w:tabs>
              <w:jc w:val="left"/>
              <w:rPr>
                <w:rFonts w:ascii="宋体" w:hAnsi="宋体" w:eastAsia="宋体" w:cs="宋体"/>
                <w:color w:val="000000"/>
                <w:szCs w:val="21"/>
              </w:rPr>
            </w:pPr>
            <w:r>
              <w:rPr>
                <w:rFonts w:hint="eastAsia" w:ascii="宋体" w:hAnsi="宋体" w:eastAsia="宋体" w:cs="宋体"/>
                <w:color w:val="000000"/>
                <w:szCs w:val="21"/>
              </w:rPr>
              <w:tab/>
            </w:r>
          </w:p>
        </w:tc>
        <w:tc>
          <w:tcPr>
            <w:tcW w:w="3490" w:type="dxa"/>
            <w:vMerge w:val="restart"/>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帮助学员建立在金融学理论方面的厚实功底，培养具有扎实的金融学理论基础，掌握金融投资与创新的前沿理论和实务的专业人才。</w:t>
            </w:r>
            <w:r>
              <w:rPr>
                <w:rFonts w:hint="eastAsia" w:ascii="宋体" w:hAnsi="宋体" w:eastAsia="宋体" w:cs="宋体"/>
                <w:color w:val="000000"/>
                <w:kern w:val="0"/>
                <w:szCs w:val="21"/>
              </w:rPr>
              <w:br w:type="textWrapping"/>
            </w: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帮助学员熟悉并了解国际、国内资本市场的现状及趋势；并针对企业自身财务制度及现状，进行资产证券化，做出有效的投资策略及分析方法。</w:t>
            </w:r>
            <w:r>
              <w:rPr>
                <w:rFonts w:hint="eastAsia" w:ascii="宋体" w:hAnsi="宋体" w:eastAsia="宋体" w:cs="宋体"/>
                <w:color w:val="000000"/>
                <w:kern w:val="0"/>
                <w:szCs w:val="21"/>
              </w:rPr>
              <w:br w:type="textWrapping"/>
            </w: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kern w:val="0"/>
                <w:szCs w:val="21"/>
              </w:rPr>
            </w:pP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详细讲述风险投资和私募股权投资的融投资、管理、退出各阶段的运作方式及策略，及在中国如何本地化运作，企业的投资与上市等流程。</w:t>
            </w:r>
          </w:p>
        </w:tc>
      </w:tr>
      <w:tr>
        <w:tblPrEx>
          <w:tblLayout w:type="fixed"/>
          <w:tblCellMar>
            <w:top w:w="15" w:type="dxa"/>
            <w:left w:w="15" w:type="dxa"/>
            <w:bottom w:w="15" w:type="dxa"/>
            <w:right w:w="15" w:type="dxa"/>
          </w:tblCellMar>
        </w:tblPrEx>
        <w:trPr>
          <w:trHeight w:val="790"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1）投资分析与证券估值</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1038"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2）私幕股权投资基金投资实务</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3）公司理财</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790"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4）金融衍生产品实务</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790"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5）国际资本市场与汇率</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6）股权投资与上市</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790"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7）风险投资与创业板</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790"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8）投资银行经营与管理</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43"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9）项目融资</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567" w:hRule="atLeast"/>
        </w:trPr>
        <w:tc>
          <w:tcPr>
            <w:tcW w:w="2205" w:type="dxa"/>
            <w:vMerge w:val="continue"/>
            <w:tcBorders>
              <w:left w:val="single" w:color="000000" w:sz="12" w:space="0"/>
              <w:bottom w:val="single" w:color="000000" w:sz="12" w:space="0"/>
            </w:tcBorders>
            <w:shd w:val="clear" w:color="auto" w:fill="FFFFFF"/>
            <w:vAlign w:val="center"/>
          </w:tcPr>
          <w:p>
            <w:pPr>
              <w:jc w:val="center"/>
              <w:rPr>
                <w:rFonts w:ascii="宋体" w:hAnsi="宋体" w:eastAsia="宋体" w:cs="宋体"/>
                <w:b/>
                <w:color w:val="000000"/>
                <w:szCs w:val="21"/>
              </w:rPr>
            </w:pP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10）财务报表分析</w:t>
            </w:r>
          </w:p>
        </w:tc>
        <w:tc>
          <w:tcPr>
            <w:tcW w:w="3490" w:type="dxa"/>
            <w:vMerge w:val="continue"/>
            <w:tcBorders>
              <w:bottom w:val="single" w:color="000000" w:sz="12" w:space="0"/>
              <w:right w:val="single" w:color="000000" w:sz="12" w:space="0"/>
            </w:tcBorders>
            <w:shd w:val="clear" w:color="auto" w:fill="FFFFFF"/>
            <w:vAlign w:val="center"/>
          </w:tcPr>
          <w:p>
            <w:pPr>
              <w:jc w:val="center"/>
              <w:rPr>
                <w:rFonts w:ascii="宋体" w:hAnsi="宋体" w:eastAsia="宋体" w:cs="宋体"/>
                <w:color w:val="000000"/>
                <w:szCs w:val="21"/>
              </w:rPr>
            </w:pP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1、学费：24000元/2年，</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bookmarkStart w:id="2" w:name="OLE_LINK4"/>
      <w:r>
        <w:rPr>
          <w:rFonts w:hint="eastAsia" w:ascii="_5b8b_4f53" w:hAnsi="_5b8b_4f53" w:cs="_5b8b_4f53"/>
          <w:color w:val="FF0000"/>
          <w:kern w:val="0"/>
          <w:sz w:val="18"/>
          <w:szCs w:val="18"/>
          <w:shd w:val="clear" w:color="auto" w:fill="FFFFFF"/>
        </w:rPr>
        <w:t>课程咨询：王老师、陈老师</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电话：</w:t>
      </w:r>
      <w:bookmarkStart w:id="3" w:name="_GoBack"/>
      <w:bookmarkEnd w:id="3"/>
      <w:r>
        <w:rPr>
          <w:rFonts w:hint="eastAsia" w:ascii="_5b8b_4f53" w:hAnsi="_5b8b_4f53" w:cs="_5b8b_4f53"/>
          <w:color w:val="FF0000"/>
          <w:kern w:val="0"/>
          <w:sz w:val="18"/>
          <w:szCs w:val="18"/>
          <w:shd w:val="clear" w:color="auto" w:fill="FFFFFF"/>
        </w:rPr>
        <w:t xml:space="preserve"> 010-59480917</w:t>
      </w: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widowControl/>
        <w:shd w:val="clear" w:color="auto" w:fill="FFFFFF"/>
        <w:spacing w:beforeAutospacing="1" w:afterAutospacing="1" w:line="360" w:lineRule="atLeast"/>
        <w:ind w:left="360" w:hanging="360"/>
        <w:rPr>
          <w:rFonts w:hint="eastAsia" w:ascii="_5b8b_4f53" w:hAnsi="_5b8b_4f53" w:cs="_5b8b_4f53"/>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F4F"/>
    <w:multiLevelType w:val="singleLevel"/>
    <w:tmpl w:val="57CD3F4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51BE"/>
    <w:rsid w:val="000A5EC2"/>
    <w:rsid w:val="005651BE"/>
    <w:rsid w:val="00567497"/>
    <w:rsid w:val="005E3D50"/>
    <w:rsid w:val="007C4DFE"/>
    <w:rsid w:val="00AA7A8B"/>
    <w:rsid w:val="00CB478F"/>
    <w:rsid w:val="00D8015F"/>
    <w:rsid w:val="00F71CE5"/>
    <w:rsid w:val="030F7999"/>
    <w:rsid w:val="039E38AF"/>
    <w:rsid w:val="03CF7EA1"/>
    <w:rsid w:val="148B69C0"/>
    <w:rsid w:val="2CED3351"/>
    <w:rsid w:val="2D325EF8"/>
    <w:rsid w:val="39D579F8"/>
    <w:rsid w:val="3BAC4D31"/>
    <w:rsid w:val="40685E58"/>
    <w:rsid w:val="4C9F59B8"/>
    <w:rsid w:val="51411687"/>
    <w:rsid w:val="555A10B3"/>
    <w:rsid w:val="58B80F30"/>
    <w:rsid w:val="5BA814CE"/>
    <w:rsid w:val="5DD14D9D"/>
    <w:rsid w:val="5EE609C8"/>
    <w:rsid w:val="5F9E75BA"/>
    <w:rsid w:val="62E651E7"/>
    <w:rsid w:val="67051B45"/>
    <w:rsid w:val="6C6D110F"/>
    <w:rsid w:val="784A71F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2155</Characters>
  <Lines>17</Lines>
  <Paragraphs>5</Paragraphs>
  <ScaleCrop>false</ScaleCrop>
  <LinksUpToDate>false</LinksUpToDate>
  <CharactersWithSpaces>2528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2017-03-24T05:31:35Z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