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color w:val="333333"/>
          <w:sz w:val="32"/>
          <w:szCs w:val="32"/>
          <w:shd w:val="clear" w:color="auto" w:fill="FFFFFF"/>
        </w:rPr>
      </w:pPr>
      <w:r>
        <w:rPr>
          <w:rStyle w:val="5"/>
          <w:rFonts w:hint="eastAsia"/>
          <w:color w:val="333333"/>
          <w:sz w:val="32"/>
          <w:szCs w:val="32"/>
          <w:shd w:val="clear" w:color="auto" w:fill="FFFFFF"/>
        </w:rPr>
        <w:t xml:space="preserve"> 暨南大学旅游管理专业高级研修课程招生简章</w:t>
      </w:r>
    </w:p>
    <w:p>
      <w:pPr>
        <w:widowControl/>
        <w:spacing w:beforeLines="100" w:afterLines="50" w:line="360" w:lineRule="auto"/>
        <w:ind w:firstLine="480" w:firstLineChars="20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4"/>
          <w:szCs w:val="24"/>
          <w:shd w:val="clear" w:color="auto" w:fill="FFFFFF"/>
        </w:rPr>
        <w:t>百年名校，巍巍暨南，</w:t>
      </w:r>
      <w:r>
        <w:rPr>
          <w:rFonts w:hint="eastAsia" w:asciiTheme="minorEastAsia" w:hAnsiTheme="minorEastAsia"/>
          <w:sz w:val="24"/>
          <w:szCs w:val="24"/>
        </w:rPr>
        <w:t>暨南大学旅游管理专业正式创办于1986年，是广东省最早设立的、从经营管理角度研究旅游的专业。自1986年开始，在企业管理专业硕士点中设立了旅游企业管理方向，招收硕士研究生。2000年，获得旅游管理专业硕士学位授予权。2003年获得旅游管理专业博士学位授予权，成为拥有本科、硕士、博士全系列教学的旅游管理专业之一。2005年5月本科旅游管理专业被评为广东省名牌专业，成为广东省唯一获此殊荣的旅游管理专业。</w:t>
      </w:r>
      <w:r>
        <w:rPr>
          <w:rFonts w:hint="eastAsia"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  <w:shd w:val="clear" w:color="auto" w:fill="FFFFFF"/>
        </w:rPr>
        <w:t>　　</w:t>
      </w:r>
      <w:r>
        <w:rPr>
          <w:rFonts w:hint="eastAsia" w:asciiTheme="minorEastAsia" w:hAnsiTheme="minorEastAsia"/>
          <w:sz w:val="24"/>
          <w:szCs w:val="24"/>
        </w:rPr>
        <w:t>全系共有教职工18人，其中教授4人，副教授8人，讲师4人，博士生导师3人</w:t>
      </w:r>
      <w:r>
        <w:rPr>
          <w:rFonts w:hint="eastAsia" w:asciiTheme="minorEastAsia" w:hAnsiTheme="minorEastAsia"/>
          <w:b/>
          <w:sz w:val="24"/>
          <w:szCs w:val="24"/>
        </w:rPr>
        <w:t>(含中国工程院院士1人)</w:t>
      </w:r>
      <w:r>
        <w:rPr>
          <w:rFonts w:hint="eastAsia" w:asciiTheme="minorEastAsia" w:hAnsiTheme="minorEastAsia"/>
          <w:sz w:val="24"/>
          <w:szCs w:val="24"/>
        </w:rPr>
        <w:t>，研究生导师8人。超过86%以上的教师拥有博士学位或者博士学位在读。80%教师年龄在40岁以下。已经形成一支基本素质较高、梯队结构合理、教学科研水平突出、具有较高影响力的师资队伍。</w:t>
      </w:r>
      <w:r>
        <w:rPr>
          <w:rFonts w:hint="eastAsia"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  <w:shd w:val="clear" w:color="auto" w:fill="FFFFFF"/>
        </w:rPr>
        <w:t>　</w:t>
      </w:r>
      <w:r>
        <w:rPr>
          <w:rFonts w:hint="eastAsia" w:asciiTheme="minorEastAsia" w:hAnsiTheme="minorEastAsia"/>
          <w:b/>
          <w:sz w:val="28"/>
          <w:szCs w:val="28"/>
          <w:shd w:val="clear" w:color="auto" w:fill="FFFFFF"/>
        </w:rPr>
        <w:t>　</w:t>
      </w:r>
      <w:r>
        <w:rPr>
          <w:rFonts w:hint="eastAsia" w:asciiTheme="minorEastAsia" w:hAnsiTheme="minorEastAsia"/>
          <w:b/>
          <w:sz w:val="28"/>
          <w:szCs w:val="28"/>
        </w:rPr>
        <w:t>一、培养模式</w:t>
      </w:r>
    </w:p>
    <w:p>
      <w:pPr>
        <w:spacing w:beforeLines="50" w:afterLines="50" w:line="360" w:lineRule="auto"/>
        <w:ind w:firstLine="472" w:firstLineChars="196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1、</w:t>
      </w:r>
      <w:r>
        <w:rPr>
          <w:rFonts w:hint="eastAsia" w:asciiTheme="minorEastAsia" w:hAnsiTheme="minorEastAsia"/>
          <w:b/>
          <w:sz w:val="24"/>
          <w:szCs w:val="24"/>
        </w:rPr>
        <w:t>培养目标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>暨南大学旅游管理专业教育依托暨南大学管理学院的学科优</w:t>
      </w:r>
      <w:r>
        <w:rPr>
          <w:rFonts w:hint="eastAsia" w:asciiTheme="minorEastAsia" w:hAnsiTheme="minorEastAsia"/>
          <w:kern w:val="0"/>
          <w:sz w:val="24"/>
          <w:szCs w:val="24"/>
        </w:rPr>
        <w:t>势与师资力量，旨在培养“系统掌握工商企业管理方法，通晓旅游与服务业管理实践，有较高职业素养和人文品位”的高层次、应用型、复合型的旅游及服务业管理人才。</w:t>
      </w:r>
    </w:p>
    <w:p>
      <w:pPr>
        <w:spacing w:beforeLines="50" w:afterLines="50" w:line="360" w:lineRule="auto"/>
        <w:ind w:firstLine="472" w:firstLineChars="196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</w:t>
      </w:r>
      <w:r>
        <w:rPr>
          <w:rFonts w:asciiTheme="minorEastAsia" w:hAnsiTheme="minorEastAsia"/>
          <w:b/>
          <w:sz w:val="24"/>
          <w:szCs w:val="24"/>
        </w:rPr>
        <w:t>、专业方向</w:t>
      </w:r>
    </w:p>
    <w:p>
      <w:pPr>
        <w:pStyle w:val="10"/>
        <w:shd w:val="clear" w:color="auto" w:fill="FAFEFF"/>
        <w:spacing w:before="0" w:beforeAutospacing="0" w:after="0" w:afterAutospacing="0"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 </w:t>
      </w:r>
      <w:r>
        <w:rPr>
          <w:rFonts w:hint="eastAsia" w:cs="Times New Roman" w:asciiTheme="minorEastAsia" w:hAnsiTheme="minorEastAsia" w:eastAsiaTheme="minorEastAsia"/>
        </w:rPr>
        <w:t xml:space="preserve">  根据国务院学位委员会关于旅游管理专业培养方案的要求，结合暨南大学管理学院旅游学科的优势，拟开设“酒店管理与实践”“旅游地产项目管理”和“旅游与服务连锁经营管理”三个专业方向。不同方向采取宽口径教学，核心主干课程和课外学习活动保持一致，部分选修课程略有互补，个人研究和毕业论文撰写进行区分。</w:t>
      </w:r>
    </w:p>
    <w:p>
      <w:pPr>
        <w:pStyle w:val="10"/>
        <w:shd w:val="clear" w:color="auto" w:fill="FAFEFF"/>
        <w:spacing w:before="0" w:beforeAutospacing="0" w:after="0" w:afterAutospacing="0" w:line="360" w:lineRule="auto"/>
        <w:ind w:firstLine="482" w:firstLineChars="200"/>
        <w:rPr>
          <w:rFonts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</w:rPr>
        <w:t>（1）</w:t>
      </w:r>
      <w:r>
        <w:rPr>
          <w:rFonts w:hint="eastAsia" w:cs="Times New Roman" w:asciiTheme="minorEastAsia" w:hAnsiTheme="minorEastAsia" w:eastAsiaTheme="minorEastAsia"/>
          <w:b/>
        </w:rPr>
        <w:t>酒店管理与实践方</w:t>
      </w:r>
      <w:r>
        <w:rPr>
          <w:rFonts w:hint="eastAsia" w:asciiTheme="minorEastAsia" w:hAnsiTheme="minorEastAsia" w:eastAsiaTheme="minorEastAsia"/>
          <w:b/>
          <w:bCs/>
        </w:rPr>
        <w:t>向</w:t>
      </w:r>
    </w:p>
    <w:p>
      <w:pPr>
        <w:pStyle w:val="10"/>
        <w:shd w:val="clear" w:color="auto" w:fill="FAFEFF"/>
        <w:spacing w:before="0" w:beforeAutospacing="0" w:after="0" w:afterAutospacing="0" w:line="360" w:lineRule="auto"/>
        <w:ind w:firstLine="48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培养酒店管理、酒店资本运营、酒店设计与装修、旅行社管理、会展管理、餐饮管理等方面的高级人才。</w:t>
      </w:r>
    </w:p>
    <w:p>
      <w:pPr>
        <w:pStyle w:val="10"/>
        <w:shd w:val="clear" w:color="auto" w:fill="FAFEFF"/>
        <w:spacing w:before="0" w:beforeAutospacing="0" w:after="0" w:afterAutospacing="0" w:line="360" w:lineRule="auto"/>
        <w:ind w:firstLine="482" w:firstLineChars="200"/>
        <w:rPr>
          <w:rFonts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</w:rPr>
        <w:t>（2）地产项目管理方向</w:t>
      </w:r>
    </w:p>
    <w:p>
      <w:pPr>
        <w:pStyle w:val="10"/>
        <w:shd w:val="clear" w:color="auto" w:fill="FAFEFF"/>
        <w:spacing w:before="0" w:beforeAutospacing="0" w:after="0" w:afterAutospacing="0" w:line="360" w:lineRule="auto"/>
        <w:ind w:firstLine="48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培养旅游规划与策划、旅游景区管理、旅游与商业地产项目管理，旅游地产营销，主题公园经营管理、旅游投融资管理等方面的高级人才。</w:t>
      </w:r>
    </w:p>
    <w:p>
      <w:pPr>
        <w:pStyle w:val="10"/>
        <w:numPr>
          <w:ilvl w:val="0"/>
          <w:numId w:val="1"/>
        </w:numPr>
        <w:shd w:val="clear" w:color="auto" w:fill="FAFEFF"/>
        <w:spacing w:before="0" w:beforeAutospacing="0" w:after="0" w:afterAutospacing="0" w:line="360" w:lineRule="auto"/>
        <w:ind w:firstLine="482" w:firstLineChars="200"/>
        <w:rPr>
          <w:rFonts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</w:rPr>
        <w:t>服务连锁经营管理方向</w:t>
      </w:r>
    </w:p>
    <w:p>
      <w:pPr>
        <w:pStyle w:val="10"/>
        <w:shd w:val="clear" w:color="auto" w:fill="FAFEFF"/>
        <w:spacing w:before="0" w:beforeAutospacing="0" w:after="0" w:afterAutospacing="0" w:line="360" w:lineRule="auto"/>
        <w:ind w:firstLine="48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培养旅游与服务业特许经营的管理人才，熟悉服务连锁企业运营、服务、营销和信息化运作的高级人才。</w:t>
      </w:r>
    </w:p>
    <w:p>
      <w:pPr>
        <w:widowControl/>
        <w:wordWrap w:val="0"/>
        <w:spacing w:beforeLines="50" w:afterLines="50" w:line="360" w:lineRule="auto"/>
        <w:jc w:val="left"/>
        <w:rPr>
          <w:rFonts w:asciiTheme="minorEastAsia" w:hAnsi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/>
          <w:b/>
          <w:bCs/>
          <w:kern w:val="0"/>
          <w:sz w:val="28"/>
          <w:szCs w:val="28"/>
        </w:rPr>
        <w:t>二、课程设置</w:t>
      </w:r>
    </w:p>
    <w:p>
      <w:pPr>
        <w:widowControl/>
        <w:wordWrap w:val="0"/>
        <w:spacing w:beforeLines="50" w:afterLines="50" w:line="360" w:lineRule="auto"/>
        <w:ind w:left="944" w:hanging="944" w:hangingChars="392"/>
        <w:jc w:val="left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/>
          <w:bCs/>
          <w:kern w:val="0"/>
          <w:sz w:val="24"/>
          <w:szCs w:val="24"/>
        </w:rPr>
        <w:t>公共课：</w:t>
      </w:r>
      <w:r>
        <w:rPr>
          <w:rFonts w:hint="eastAsia" w:asciiTheme="minorEastAsia" w:hAnsiTheme="minorEastAsia"/>
          <w:bCs/>
          <w:kern w:val="0"/>
          <w:sz w:val="24"/>
          <w:szCs w:val="24"/>
        </w:rPr>
        <w:t>基础英语、中国特色社会主义理论与实践研究、马克思主义与社会科学方法论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专业课：</w:t>
      </w:r>
      <w:r>
        <w:rPr>
          <w:rFonts w:asciiTheme="minorEastAsia" w:hAnsiTheme="minorEastAsia"/>
          <w:sz w:val="24"/>
          <w:szCs w:val="24"/>
        </w:rPr>
        <w:t>旅游开发与规划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旅游市场营销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旅游企业管理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kern w:val="0"/>
          <w:sz w:val="24"/>
          <w:szCs w:val="24"/>
        </w:rPr>
        <w:t>管理研究方法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/>
          <w:b/>
          <w:kern w:val="0"/>
          <w:sz w:val="24"/>
          <w:szCs w:val="24"/>
        </w:rPr>
        <w:t>选修课：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kern w:val="0"/>
          <w:sz w:val="24"/>
          <w:szCs w:val="24"/>
        </w:rPr>
        <w:t>酒店管理与实践方向：</w:t>
      </w:r>
      <w:r>
        <w:rPr>
          <w:rFonts w:cs="Arial" w:asciiTheme="minorEastAsia" w:hAnsiTheme="minorEastAsia"/>
          <w:sz w:val="24"/>
          <w:szCs w:val="24"/>
        </w:rPr>
        <w:t>服务管理</w:t>
      </w:r>
      <w:r>
        <w:rPr>
          <w:rFonts w:hint="eastAsia" w:cs="Arial"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kern w:val="0"/>
          <w:sz w:val="24"/>
          <w:szCs w:val="24"/>
        </w:rPr>
        <w:t>酒店管理与实践</w:t>
      </w:r>
      <w:r>
        <w:rPr>
          <w:rFonts w:hint="eastAsia" w:asciiTheme="minorEastAsia" w:hAnsiTheme="minorEastAsia"/>
          <w:sz w:val="24"/>
          <w:szCs w:val="24"/>
        </w:rPr>
        <w:t>、酒店设计、</w:t>
      </w:r>
      <w:r>
        <w:rPr>
          <w:rFonts w:hint="eastAsia" w:cs="Arial" w:asciiTheme="minorEastAsia" w:hAnsiTheme="minorEastAsia"/>
          <w:sz w:val="24"/>
          <w:szCs w:val="24"/>
        </w:rPr>
        <w:t>旅游投资分析与财务管理、旅行社管理与客源组织、</w:t>
      </w:r>
      <w:r>
        <w:rPr>
          <w:rFonts w:hint="eastAsia" w:asciiTheme="minorEastAsia" w:hAnsiTheme="minorEastAsia"/>
          <w:sz w:val="24"/>
          <w:szCs w:val="24"/>
        </w:rPr>
        <w:t>可持续旅游</w:t>
      </w:r>
    </w:p>
    <w:p>
      <w:pPr>
        <w:adjustRightInd w:val="0"/>
        <w:snapToGrid w:val="0"/>
        <w:spacing w:line="360" w:lineRule="auto"/>
        <w:ind w:left="944" w:hanging="944" w:hangingChars="392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地产项目管理方向：</w:t>
      </w:r>
      <w:r>
        <w:rPr>
          <w:rFonts w:hint="eastAsia" w:asciiTheme="minorEastAsia" w:hAnsiTheme="minorEastAsia"/>
          <w:sz w:val="24"/>
          <w:szCs w:val="24"/>
        </w:rPr>
        <w:t>旅游地产项目管理、</w:t>
      </w:r>
      <w:r>
        <w:rPr>
          <w:rFonts w:asciiTheme="minorEastAsia" w:hAnsiTheme="minorEastAsia"/>
          <w:sz w:val="24"/>
          <w:szCs w:val="24"/>
        </w:rPr>
        <w:t>旅游产业发展研究</w:t>
      </w:r>
      <w:r>
        <w:rPr>
          <w:rFonts w:hint="eastAsia" w:asciiTheme="minorEastAsia" w:hAnsiTheme="minorEastAsia"/>
          <w:sz w:val="24"/>
          <w:szCs w:val="24"/>
        </w:rPr>
        <w:t>、旅游地产与景区规划、</w:t>
      </w:r>
      <w:r>
        <w:rPr>
          <w:rFonts w:hint="eastAsia" w:cs="Arial" w:asciiTheme="minorEastAsia" w:hAnsiTheme="minorEastAsia"/>
          <w:sz w:val="24"/>
          <w:szCs w:val="24"/>
        </w:rPr>
        <w:t>旅游投资分析与财务管理、旅游景区管理、旅行社管理与客源组织</w:t>
      </w:r>
    </w:p>
    <w:p>
      <w:pPr>
        <w:pStyle w:val="10"/>
        <w:shd w:val="clear" w:color="auto" w:fill="FAFEFF"/>
        <w:spacing w:before="0" w:beforeAutospacing="0" w:after="0" w:afterAutospacing="0"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/>
          <w:bCs/>
        </w:rPr>
        <w:t>服务连锁经营管理方向：</w:t>
      </w:r>
      <w:r>
        <w:rPr>
          <w:rFonts w:hint="eastAsia" w:asciiTheme="minorEastAsia" w:hAnsiTheme="minorEastAsia" w:eastAsiaTheme="minorEastAsia"/>
        </w:rPr>
        <w:t>服务连锁经营与实务、服务品牌塑造与传播、</w:t>
      </w:r>
      <w:r>
        <w:rPr>
          <w:rFonts w:asciiTheme="minorEastAsia" w:hAnsiTheme="minorEastAsia" w:eastAsiaTheme="minorEastAsia"/>
        </w:rPr>
        <w:t>旅游信息管理</w:t>
      </w:r>
      <w:r>
        <w:rPr>
          <w:rFonts w:hint="eastAsia" w:asciiTheme="minorEastAsia" w:hAnsiTheme="minorEastAsia" w:eastAsiaTheme="minorEastAsia"/>
        </w:rPr>
        <w:t>、可持续旅游、</w:t>
      </w:r>
      <w:r>
        <w:rPr>
          <w:rFonts w:hint="eastAsia" w:cs="Arial" w:asciiTheme="minorEastAsia" w:hAnsiTheme="minorEastAsia" w:eastAsiaTheme="minorEastAsia"/>
        </w:rPr>
        <w:t>旅游投资分析与财务管理、旅行社管理与客源组织</w:t>
      </w:r>
    </w:p>
    <w:p>
      <w:pPr>
        <w:adjustRightInd w:val="0"/>
        <w:snapToGrid w:val="0"/>
        <w:spacing w:line="360" w:lineRule="auto"/>
        <w:ind w:left="941" w:hanging="941" w:hangingChars="392"/>
        <w:jc w:val="left"/>
        <w:rPr>
          <w:rFonts w:asciiTheme="minorEastAsia" w:hAnsiTheme="minorEastAsia"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cs="Arial" w:asciiTheme="minorEastAsia" w:hAnsiTheme="minorEastAsia"/>
          <w:b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行业前沿讲座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《旅游法》热点解读与研讨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旅游营销中的符号学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文化地理与旅游研究的转型与跨越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城镇化与中国经济发展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旅游研究中的定量研究方法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旅游研究的视角转型与创新——从遗产旅游研究谈起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跨文化旅游者行为研究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从空间到空间生产：地理学视角下滨海旅游研究路径探索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旅游管理研究生沙龙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旅游人类学的理论与经验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广州天河猎德城中村改造模式对我国城市更新的借鉴与启示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旅游人地关系脆弱性的社会——生态整合研究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旅游创业的智慧取向及多种模式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节事研究的个人体验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事件活动研究——新领域的开拓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 酒店空间研究：基于文化政治的视角Smart Destination More than just Technology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会展活动的社会影响研究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旅游管理研究生沙龙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生态旅游的本土化实践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sz w:val="24"/>
          <w:szCs w:val="24"/>
          <w:shd w:val="clear" w:color="auto" w:fill="FFFFFF"/>
        </w:rPr>
        <w:t>　　</w:t>
      </w:r>
    </w:p>
    <w:p>
      <w:pPr>
        <w:adjustRightInd w:val="0"/>
        <w:snapToGrid w:val="0"/>
        <w:spacing w:line="360" w:lineRule="auto"/>
        <w:jc w:val="left"/>
        <w:rPr>
          <w:rFonts w:cs="Arial" w:asciiTheme="minorEastAsia" w:hAnsiTheme="minorEastAsia"/>
          <w:sz w:val="24"/>
          <w:szCs w:val="24"/>
        </w:rPr>
      </w:pPr>
      <w:r>
        <w:rPr>
          <w:rFonts w:hint="eastAsia" w:cs="Tahoma" w:asciiTheme="minorEastAsia" w:hAnsiTheme="minorEastAsia"/>
          <w:b/>
          <w:bCs/>
          <w:kern w:val="0"/>
          <w:sz w:val="24"/>
          <w:szCs w:val="24"/>
        </w:rPr>
        <w:t>暨南大学旅游管理专业高级研修课程特点：</w:t>
      </w:r>
    </w:p>
    <w:p>
      <w:pPr>
        <w:widowControl/>
        <w:spacing w:line="360" w:lineRule="auto"/>
        <w:ind w:firstLine="435"/>
        <w:jc w:val="left"/>
        <w:rPr>
          <w:rFonts w:cs="Tahoma" w:asciiTheme="minorEastAsia" w:hAnsiTheme="minorEastAsia"/>
          <w:kern w:val="0"/>
          <w:sz w:val="24"/>
          <w:szCs w:val="24"/>
        </w:rPr>
      </w:pPr>
    </w:p>
    <w:p>
      <w:pPr>
        <w:shd w:val="solid" w:color="FFFFFF" w:fill="auto"/>
        <w:autoSpaceDN w:val="0"/>
        <w:spacing w:line="360" w:lineRule="auto"/>
        <w:jc w:val="left"/>
        <w:rPr>
          <w:rFonts w:asciiTheme="minorEastAsia" w:hAnsiTheme="minorEastAsia"/>
          <w:spacing w:val="15"/>
          <w:sz w:val="24"/>
          <w:szCs w:val="24"/>
          <w:shd w:val="clear" w:color="auto" w:fill="FFFFFF"/>
        </w:rPr>
      </w:pPr>
      <w:r>
        <w:rPr>
          <w:rFonts w:asciiTheme="minorEastAsia" w:hAnsiTheme="minorEastAsia"/>
          <w:b/>
          <w:i/>
          <w:spacing w:val="15"/>
          <w:sz w:val="24"/>
          <w:szCs w:val="24"/>
          <w:shd w:val="clear" w:color="auto" w:fill="FFFFFF"/>
        </w:rPr>
        <w:t>学成易</w:t>
      </w:r>
      <w:r>
        <w:rPr>
          <w:rFonts w:hint="eastAsia" w:asciiTheme="minorEastAsia" w:hAnsiTheme="minorEastAsia"/>
          <w:b/>
          <w:i/>
          <w:spacing w:val="15"/>
          <w:sz w:val="24"/>
          <w:szCs w:val="24"/>
          <w:shd w:val="clear" w:color="auto" w:fill="FFFFFF"/>
        </w:rPr>
        <w:t>：</w:t>
      </w:r>
      <w:r>
        <w:rPr>
          <w:rFonts w:cs="Tahoma" w:asciiTheme="minorEastAsia" w:hAnsiTheme="minorEastAsia"/>
          <w:kern w:val="0"/>
          <w:sz w:val="24"/>
          <w:szCs w:val="24"/>
        </w:rPr>
        <w:t>免试入学；成绩 5 年有效；申请硕士</w:t>
      </w:r>
      <w:r>
        <w:rPr>
          <w:rFonts w:hint="eastAsia" w:cs="Tahoma" w:asciiTheme="minorEastAsia" w:hAnsiTheme="minorEastAsia"/>
          <w:kern w:val="0"/>
          <w:sz w:val="24"/>
          <w:szCs w:val="24"/>
        </w:rPr>
        <w:t>学位</w:t>
      </w:r>
      <w:r>
        <w:rPr>
          <w:rFonts w:cs="Tahoma" w:asciiTheme="minorEastAsia" w:hAnsiTheme="minorEastAsia"/>
          <w:kern w:val="0"/>
          <w:sz w:val="24"/>
          <w:szCs w:val="24"/>
        </w:rPr>
        <w:t>时，可分阶段</w:t>
      </w:r>
      <w:r>
        <w:rPr>
          <w:rFonts w:hint="eastAsia" w:cs="Tahoma" w:asciiTheme="minorEastAsia" w:hAnsiTheme="minorEastAsia"/>
          <w:kern w:val="0"/>
          <w:sz w:val="24"/>
          <w:szCs w:val="24"/>
        </w:rPr>
        <w:t>参加外</w:t>
      </w:r>
      <w:r>
        <w:rPr>
          <w:rFonts w:cs="Tahoma" w:asciiTheme="minorEastAsia" w:hAnsiTheme="minorEastAsia"/>
          <w:kern w:val="0"/>
          <w:sz w:val="24"/>
          <w:szCs w:val="24"/>
        </w:rPr>
        <w:t>语和</w:t>
      </w:r>
      <w:r>
        <w:rPr>
          <w:rFonts w:hint="eastAsia" w:cs="Tahoma" w:asciiTheme="minorEastAsia" w:hAnsiTheme="minorEastAsia"/>
          <w:kern w:val="0"/>
          <w:sz w:val="24"/>
          <w:szCs w:val="24"/>
        </w:rPr>
        <w:t>综合课考试。</w:t>
      </w:r>
    </w:p>
    <w:p>
      <w:pPr>
        <w:shd w:val="solid" w:color="FFFFFF" w:fill="auto"/>
        <w:autoSpaceDN w:val="0"/>
        <w:spacing w:line="360" w:lineRule="auto"/>
        <w:jc w:val="left"/>
        <w:rPr>
          <w:rFonts w:asciiTheme="minorEastAsia" w:hAnsiTheme="minorEastAsia"/>
          <w:spacing w:val="15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b/>
          <w:i/>
          <w:spacing w:val="15"/>
          <w:sz w:val="24"/>
          <w:szCs w:val="24"/>
          <w:shd w:val="clear" w:color="auto" w:fill="FFFFFF"/>
        </w:rPr>
        <w:t>师资强：</w:t>
      </w:r>
      <w:r>
        <w:rPr>
          <w:rFonts w:hint="eastAsia" w:cs="Tahoma" w:asciiTheme="minorEastAsia" w:hAnsiTheme="minorEastAsia"/>
          <w:kern w:val="0"/>
          <w:sz w:val="24"/>
          <w:szCs w:val="24"/>
        </w:rPr>
        <w:t>拥有一支基本素质较高、梯队结构合理、教学科研水平突出、具有较高影响力的师资队伍，一位全国MTA教育指导委员会委员和一位中国工程院院士。85%以上师资拥有博士学历；40%的师资拥有海外名校访学经历；多数师资拥有业界资历或企业培训经历；平均从事教职十年以上。</w:t>
      </w:r>
    </w:p>
    <w:p>
      <w:pPr>
        <w:shd w:val="solid" w:color="FFFFFF" w:fill="auto"/>
        <w:autoSpaceDN w:val="0"/>
        <w:spacing w:line="360" w:lineRule="auto"/>
        <w:jc w:val="left"/>
        <w:rPr>
          <w:rFonts w:asciiTheme="minorEastAsia" w:hAnsiTheme="minorEastAsia"/>
          <w:spacing w:val="15"/>
          <w:sz w:val="24"/>
          <w:szCs w:val="24"/>
          <w:shd w:val="clear" w:color="auto" w:fill="FFFFFF"/>
        </w:rPr>
      </w:pPr>
      <w:r>
        <w:rPr>
          <w:rFonts w:asciiTheme="minorEastAsia" w:hAnsiTheme="minorEastAsia"/>
          <w:b/>
          <w:i/>
          <w:spacing w:val="15"/>
          <w:sz w:val="24"/>
          <w:szCs w:val="24"/>
          <w:shd w:val="clear" w:color="auto" w:fill="FFFFFF"/>
        </w:rPr>
        <w:t>投资少</w:t>
      </w:r>
      <w:r>
        <w:rPr>
          <w:rFonts w:hint="eastAsia" w:asciiTheme="minorEastAsia" w:hAnsiTheme="minorEastAsia"/>
          <w:b/>
          <w:i/>
          <w:spacing w:val="15"/>
          <w:sz w:val="24"/>
          <w:szCs w:val="24"/>
          <w:shd w:val="clear" w:color="auto" w:fill="FFFFFF"/>
        </w:rPr>
        <w:t>：</w:t>
      </w:r>
      <w:r>
        <w:rPr>
          <w:rFonts w:hint="eastAsia" w:cs="Tahoma" w:asciiTheme="minorEastAsia" w:hAnsiTheme="minorEastAsia"/>
          <w:kern w:val="0"/>
          <w:sz w:val="24"/>
          <w:szCs w:val="24"/>
        </w:rPr>
        <w:t>课程班两年学习费用共3万元；若申请硕士学位，论文指导费为1万元。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i/>
          <w:spacing w:val="15"/>
          <w:sz w:val="24"/>
          <w:szCs w:val="24"/>
          <w:shd w:val="clear" w:color="auto" w:fill="FFFFFF"/>
        </w:rPr>
        <w:t>弹性大：</w:t>
      </w:r>
      <w:r>
        <w:rPr>
          <w:rFonts w:hint="eastAsia" w:cs="Tahoma" w:asciiTheme="minorEastAsia" w:hAnsiTheme="minorEastAsia"/>
          <w:kern w:val="0"/>
          <w:sz w:val="24"/>
          <w:szCs w:val="24"/>
        </w:rPr>
        <w:t>可以多阶段学习，硕士课程成绩5年有效，全部课程通过颁发结业证书，通过硕士资格审查，获得硕士学位证书。</w:t>
      </w:r>
    </w:p>
    <w:p>
      <w:pPr>
        <w:widowControl/>
        <w:spacing w:line="360" w:lineRule="auto"/>
        <w:jc w:val="left"/>
        <w:rPr>
          <w:rFonts w:cs="Tahoma"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b/>
          <w:i/>
          <w:spacing w:val="15"/>
          <w:sz w:val="24"/>
          <w:szCs w:val="24"/>
          <w:shd w:val="clear" w:color="auto" w:fill="FFFFFF"/>
        </w:rPr>
        <w:t>获益多</w:t>
      </w:r>
      <w:r>
        <w:rPr>
          <w:rFonts w:hint="eastAsia" w:asciiTheme="minorEastAsia" w:hAnsiTheme="minorEastAsia"/>
          <w:b/>
          <w:i/>
          <w:spacing w:val="15"/>
          <w:sz w:val="24"/>
          <w:szCs w:val="24"/>
          <w:shd w:val="clear" w:color="auto" w:fill="FFFFFF"/>
        </w:rPr>
        <w:t>：</w:t>
      </w:r>
      <w:r>
        <w:rPr>
          <w:rFonts w:cs="Tahoma" w:asciiTheme="minorEastAsia" w:hAnsiTheme="minorEastAsia"/>
          <w:kern w:val="0"/>
          <w:sz w:val="24"/>
          <w:szCs w:val="24"/>
        </w:rPr>
        <w:t>不仅学习知识，还能收获友情，</w:t>
      </w:r>
      <w:r>
        <w:rPr>
          <w:rFonts w:hint="eastAsia" w:cs="Tahoma" w:asciiTheme="minorEastAsia" w:hAnsiTheme="minorEastAsia"/>
          <w:kern w:val="0"/>
          <w:sz w:val="24"/>
          <w:szCs w:val="24"/>
        </w:rPr>
        <w:t>获得高级研修课程校友网络，</w:t>
      </w:r>
      <w:r>
        <w:rPr>
          <w:rFonts w:cs="Tahoma" w:asciiTheme="minorEastAsia" w:hAnsiTheme="minorEastAsia"/>
          <w:kern w:val="0"/>
          <w:sz w:val="24"/>
          <w:szCs w:val="24"/>
        </w:rPr>
        <w:t>更能得到事业发展良机。</w:t>
      </w:r>
    </w:p>
    <w:p>
      <w:pPr>
        <w:widowControl/>
        <w:spacing w:line="360" w:lineRule="auto"/>
        <w:jc w:val="left"/>
        <w:rPr>
          <w:rFonts w:asciiTheme="minorEastAsia" w:hAnsiTheme="minorEastAsia"/>
          <w:spacing w:val="15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b/>
          <w:i/>
          <w:spacing w:val="15"/>
          <w:sz w:val="24"/>
          <w:szCs w:val="24"/>
          <w:shd w:val="clear" w:color="auto" w:fill="FFFFFF"/>
        </w:rPr>
        <w:t>班级活动：</w:t>
      </w:r>
      <w:r>
        <w:rPr>
          <w:rFonts w:hint="eastAsia" w:cs="Tahoma" w:asciiTheme="minorEastAsia" w:hAnsiTheme="minorEastAsia"/>
          <w:kern w:val="0"/>
          <w:sz w:val="24"/>
          <w:szCs w:val="24"/>
        </w:rPr>
        <w:t>每班均有专业教师担任班主任，协助组织丰富多彩的班级活动，加强师生之间的互动，在你的学习经历中注入快乐和友谊。</w:t>
      </w:r>
    </w:p>
    <w:p>
      <w:pPr>
        <w:widowControl/>
        <w:spacing w:line="360" w:lineRule="auto"/>
        <w:jc w:val="left"/>
        <w:rPr>
          <w:rFonts w:cs="Tahoma"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b/>
          <w:i/>
          <w:spacing w:val="15"/>
          <w:sz w:val="24"/>
          <w:szCs w:val="24"/>
          <w:shd w:val="clear" w:color="auto" w:fill="FFFFFF"/>
        </w:rPr>
        <w:t>导师制：</w:t>
      </w:r>
      <w:r>
        <w:rPr>
          <w:rFonts w:hint="eastAsia" w:cs="Tahoma" w:asciiTheme="minorEastAsia" w:hAnsiTheme="minorEastAsia"/>
          <w:kern w:val="0"/>
          <w:sz w:val="24"/>
          <w:szCs w:val="24"/>
        </w:rPr>
        <w:t>由博士、教授担任导师，指导学员的学习过程及论文写作，培养学员的归属感，提升学员的学术水平。</w:t>
      </w:r>
    </w:p>
    <w:p>
      <w:pPr>
        <w:widowControl/>
        <w:spacing w:line="360" w:lineRule="auto"/>
        <w:ind w:firstLine="435"/>
        <w:jc w:val="left"/>
        <w:rPr>
          <w:rFonts w:cs="Tahoma" w:asciiTheme="minorEastAsia" w:hAnsiTheme="minorEastAsia"/>
          <w:kern w:val="0"/>
          <w:sz w:val="24"/>
          <w:szCs w:val="24"/>
        </w:rPr>
      </w:pPr>
    </w:p>
    <w:p>
      <w:pPr>
        <w:wordWrap w:val="0"/>
        <w:spacing w:line="360" w:lineRule="auto"/>
        <w:ind w:firstLine="482" w:firstLineChars="200"/>
        <w:rPr>
          <w:rFonts w:cs="Tahoma" w:asciiTheme="minorEastAsia" w:hAnsiTheme="minorEastAsia"/>
          <w:b/>
          <w:kern w:val="0"/>
          <w:sz w:val="24"/>
          <w:szCs w:val="24"/>
        </w:rPr>
      </w:pPr>
      <w:r>
        <w:rPr>
          <w:rFonts w:hint="eastAsia" w:cs="Tahoma" w:asciiTheme="minorEastAsia" w:hAnsiTheme="minorEastAsia"/>
          <w:b/>
          <w:kern w:val="0"/>
          <w:sz w:val="24"/>
          <w:szCs w:val="24"/>
        </w:rPr>
        <w:t>三、报名具体事宜如下：</w:t>
      </w:r>
    </w:p>
    <w:p>
      <w:pPr>
        <w:wordWrap w:val="0"/>
        <w:spacing w:line="360" w:lineRule="auto"/>
        <w:ind w:firstLine="360" w:firstLineChars="15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1、报名</w:t>
      </w:r>
      <w:r>
        <w:rPr>
          <w:rFonts w:cs="Arial" w:asciiTheme="minorEastAsia" w:hAnsiTheme="minorEastAsia"/>
          <w:b/>
          <w:bCs/>
          <w:sz w:val="24"/>
          <w:szCs w:val="24"/>
        </w:rPr>
        <w:t>条件：</w:t>
      </w:r>
      <w:r>
        <w:rPr>
          <w:rFonts w:cs="Arial" w:asciiTheme="minorEastAsia" w:hAnsiTheme="minorEastAsia"/>
          <w:sz w:val="24"/>
          <w:szCs w:val="24"/>
        </w:rPr>
        <w:t>申请人一般应为大学本科毕业。</w:t>
      </w:r>
    </w:p>
    <w:p>
      <w:pPr>
        <w:wordWrap w:val="0"/>
        <w:spacing w:line="360" w:lineRule="auto"/>
        <w:ind w:firstLine="240" w:firstLineChars="1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2</w:t>
      </w:r>
      <w:r>
        <w:rPr>
          <w:rFonts w:cs="Arial" w:asciiTheme="minorEastAsia" w:hAnsiTheme="minorEastAsia"/>
          <w:sz w:val="24"/>
          <w:szCs w:val="24"/>
        </w:rPr>
        <w:t>、报名时间：</w:t>
      </w:r>
      <w:r>
        <w:rPr>
          <w:rFonts w:hint="eastAsia" w:cs="Arial" w:asciiTheme="minorEastAsia" w:hAnsiTheme="minorEastAsia"/>
          <w:sz w:val="24"/>
          <w:szCs w:val="24"/>
        </w:rPr>
        <w:t>正在报名中，</w:t>
      </w:r>
      <w:r>
        <w:rPr>
          <w:rFonts w:cs="Tahoma" w:asciiTheme="minorEastAsia" w:hAnsiTheme="minorEastAsia"/>
          <w:kern w:val="0"/>
          <w:sz w:val="24"/>
          <w:szCs w:val="24"/>
        </w:rPr>
        <w:t>9月中旬入学</w:t>
      </w:r>
    </w:p>
    <w:p>
      <w:pPr>
        <w:wordWrap w:val="0"/>
        <w:spacing w:line="360" w:lineRule="auto"/>
        <w:ind w:hanging="36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 </w:t>
      </w:r>
      <w:r>
        <w:rPr>
          <w:rFonts w:hint="eastAsia" w:cs="Arial" w:asciiTheme="minorEastAsia" w:hAnsiTheme="minorEastAsia"/>
          <w:sz w:val="24"/>
          <w:szCs w:val="24"/>
        </w:rPr>
        <w:t xml:space="preserve">   3</w:t>
      </w:r>
      <w:r>
        <w:rPr>
          <w:rFonts w:cs="Arial" w:asciiTheme="minorEastAsia" w:hAnsiTheme="minorEastAsia"/>
          <w:sz w:val="24"/>
          <w:szCs w:val="24"/>
        </w:rPr>
        <w:t>、报名办法</w:t>
      </w:r>
      <w:r>
        <w:rPr>
          <w:rFonts w:hint="eastAsia" w:cs="Arial" w:asciiTheme="minorEastAsia" w:hAnsiTheme="minorEastAsia"/>
          <w:sz w:val="24"/>
          <w:szCs w:val="24"/>
        </w:rPr>
        <w:t>:</w:t>
      </w:r>
    </w:p>
    <w:p>
      <w:pPr>
        <w:widowControl/>
        <w:spacing w:line="360" w:lineRule="auto"/>
        <w:ind w:left="435" w:leftChars="207"/>
        <w:jc w:val="left"/>
        <w:rPr>
          <w:rFonts w:cs="Tahoma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A</w:t>
      </w:r>
      <w:r>
        <w:rPr>
          <w:rFonts w:cs="宋体" w:asciiTheme="minorEastAsia" w:hAnsiTheme="minorEastAsia"/>
          <w:kern w:val="0"/>
          <w:sz w:val="24"/>
          <w:szCs w:val="24"/>
        </w:rPr>
        <w:t>、凡符合报名条件者，按要求填写好《暨南大学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高级研修课程</w:t>
      </w:r>
      <w:r>
        <w:rPr>
          <w:rFonts w:cs="宋体" w:asciiTheme="minorEastAsia" w:hAnsiTheme="minorEastAsia"/>
          <w:kern w:val="0"/>
          <w:sz w:val="24"/>
          <w:szCs w:val="24"/>
        </w:rPr>
        <w:t>报名表》发至邮箱</w:t>
      </w:r>
      <w:r>
        <w:rPr>
          <w:rFonts w:ascii="Times New Roman" w:hAnsi="宋体"/>
          <w:kern w:val="0"/>
          <w:sz w:val="24"/>
        </w:rPr>
        <w:t>（</w:t>
      </w:r>
      <w:r>
        <w:rPr>
          <w:rFonts w:ascii="Times New Roman" w:hAnsi="Arial"/>
          <w:sz w:val="28"/>
          <w:szCs w:val="28"/>
        </w:rPr>
        <w:t>13121135903@qq.com</w:t>
      </w:r>
      <w:r>
        <w:rPr>
          <w:rFonts w:ascii="Times New Roman" w:hAnsi="Times New Roman"/>
          <w:kern w:val="0"/>
          <w:sz w:val="24"/>
        </w:rPr>
        <w:t xml:space="preserve"> </w:t>
      </w:r>
      <w:r>
        <w:rPr>
          <w:rFonts w:hint="eastAsia" w:ascii="Times New Roman" w:hAnsi="Times New Roman"/>
          <w:kern w:val="0"/>
          <w:sz w:val="24"/>
        </w:rPr>
        <w:t>）</w:t>
      </w:r>
      <w:r>
        <w:rPr>
          <w:rFonts w:cs="宋体" w:asciiTheme="minorEastAsia" w:hAnsiTheme="minorEastAsia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kern w:val="0"/>
          <w:sz w:val="24"/>
          <w:szCs w:val="24"/>
        </w:rPr>
        <w:t>B</w:t>
      </w:r>
      <w:r>
        <w:rPr>
          <w:rFonts w:cs="宋体" w:asciiTheme="minorEastAsia" w:hAnsiTheme="minorEastAsia"/>
          <w:kern w:val="0"/>
          <w:sz w:val="24"/>
          <w:szCs w:val="24"/>
        </w:rPr>
        <w:t>、报名手续：持本人身份证、毕业证书、学位证书原件及复印件，报名登记表；一寸免冠近照2张；到指定办公室报名。</w:t>
      </w:r>
    </w:p>
    <w:p>
      <w:pPr>
        <w:wordWrap w:val="0"/>
        <w:spacing w:line="360" w:lineRule="auto"/>
        <w:ind w:firstLine="240" w:firstLineChars="100"/>
        <w:rPr>
          <w:rFonts w:cs="Tahoma" w:asciiTheme="minorEastAsia" w:hAnsi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4、培养方式：</w:t>
      </w:r>
      <w:r>
        <w:rPr>
          <w:rFonts w:cs="Tahoma" w:asciiTheme="minorEastAsia" w:hAnsiTheme="minorEastAsia"/>
          <w:kern w:val="0"/>
          <w:sz w:val="24"/>
          <w:szCs w:val="24"/>
        </w:rPr>
        <w:t>学制二年，非脱产学习，周</w:t>
      </w:r>
      <w:r>
        <w:rPr>
          <w:rFonts w:hint="eastAsia" w:cs="Tahoma" w:asciiTheme="minorEastAsia" w:hAnsiTheme="minorEastAsia"/>
          <w:kern w:val="0"/>
          <w:sz w:val="24"/>
          <w:szCs w:val="24"/>
        </w:rPr>
        <w:t>末校本部</w:t>
      </w:r>
      <w:r>
        <w:rPr>
          <w:rFonts w:cs="Tahoma" w:asciiTheme="minorEastAsia" w:hAnsiTheme="minorEastAsia"/>
          <w:kern w:val="0"/>
          <w:sz w:val="24"/>
          <w:szCs w:val="24"/>
        </w:rPr>
        <w:t>上课</w:t>
      </w:r>
      <w:r>
        <w:rPr>
          <w:rFonts w:hint="eastAsia" w:cs="Tahoma" w:asciiTheme="minorEastAsia" w:hAnsiTheme="minorEastAsia"/>
          <w:kern w:val="0"/>
          <w:sz w:val="24"/>
          <w:szCs w:val="24"/>
        </w:rPr>
        <w:t>，有寒暑假</w:t>
      </w:r>
      <w:r>
        <w:rPr>
          <w:rFonts w:cs="Tahoma" w:asciiTheme="minorEastAsia" w:hAnsiTheme="min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ind w:firstLine="240" w:firstLineChars="100"/>
        <w:jc w:val="left"/>
        <w:rPr>
          <w:rFonts w:cs="Tahoma" w:asciiTheme="minorEastAsia" w:hAnsiTheme="minorEastAsia"/>
          <w:kern w:val="0"/>
          <w:szCs w:val="21"/>
        </w:rPr>
      </w:pPr>
      <w:r>
        <w:rPr>
          <w:rFonts w:hint="eastAsia" w:cs="Tahoma" w:asciiTheme="minorEastAsia" w:hAnsiTheme="minorEastAsia"/>
          <w:kern w:val="0"/>
          <w:sz w:val="24"/>
          <w:szCs w:val="24"/>
        </w:rPr>
        <w:t>5、学费：1.5万元/年，</w:t>
      </w:r>
      <w:r>
        <w:rPr>
          <w:rFonts w:hint="eastAsia"/>
          <w:color w:val="333333"/>
          <w:szCs w:val="21"/>
          <w:shd w:val="clear" w:color="auto" w:fill="FFFFFF"/>
        </w:rPr>
        <w:t xml:space="preserve"> </w:t>
      </w:r>
      <w:r>
        <w:rPr>
          <w:rFonts w:hint="eastAsia" w:asciiTheme="majorEastAsia" w:hAnsiTheme="majorEastAsia" w:eastAsiaTheme="majorEastAsia"/>
          <w:color w:val="333333"/>
          <w:sz w:val="24"/>
          <w:szCs w:val="24"/>
          <w:shd w:val="clear" w:color="auto" w:fill="FFFFFF"/>
        </w:rPr>
        <w:t>二年学制，一共3万元，学生参加论文指导及答辩费用1万元。学费是按学年缴交，于每学年开学前付清，逾期不交费者，视作自动放弃学习处理。所有费用一经交纳，概不退回。</w:t>
      </w:r>
    </w:p>
    <w:p>
      <w:pPr>
        <w:widowControl/>
        <w:spacing w:line="360" w:lineRule="auto"/>
        <w:ind w:firstLine="240" w:firstLineChars="100"/>
        <w:jc w:val="left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6、证书与学位：</w:t>
      </w:r>
    </w:p>
    <w:p>
      <w:pPr>
        <w:widowControl/>
        <w:spacing w:line="360" w:lineRule="auto"/>
        <w:ind w:firstLine="435"/>
        <w:jc w:val="left"/>
        <w:rPr>
          <w:rFonts w:cs="Tahoma" w:asciiTheme="minorEastAsia" w:hAnsiTheme="minorEastAsia"/>
          <w:kern w:val="0"/>
          <w:sz w:val="24"/>
          <w:szCs w:val="24"/>
        </w:rPr>
      </w:pPr>
      <w:r>
        <w:rPr>
          <w:rFonts w:hint="eastAsia" w:cs="Tahoma" w:asciiTheme="minorEastAsia" w:hAnsiTheme="minorEastAsia"/>
          <w:kern w:val="0"/>
          <w:sz w:val="24"/>
          <w:szCs w:val="24"/>
        </w:rPr>
        <w:t>(1)、学员完成规定的学习课程并获得相应学分的，</w:t>
      </w:r>
      <w:r>
        <w:rPr>
          <w:rFonts w:cs="Tahoma" w:asciiTheme="minorEastAsia" w:hAnsiTheme="minorEastAsia"/>
          <w:kern w:val="0"/>
          <w:sz w:val="24"/>
          <w:szCs w:val="24"/>
        </w:rPr>
        <w:t>颁发“暨南大学高级研修课程结业证书”</w:t>
      </w:r>
      <w:r>
        <w:rPr>
          <w:rFonts w:hint="eastAsia" w:cs="Tahoma" w:asciiTheme="minorEastAsia" w:hAnsiTheme="minorEastAsia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ind w:firstLine="435"/>
        <w:jc w:val="left"/>
        <w:rPr>
          <w:rFonts w:cs="Tahoma" w:asciiTheme="minorEastAsia" w:hAnsiTheme="minorEastAsia"/>
          <w:kern w:val="0"/>
          <w:sz w:val="24"/>
          <w:szCs w:val="24"/>
        </w:rPr>
      </w:pPr>
      <w:r>
        <w:rPr>
          <w:rFonts w:hint="eastAsia" w:cs="Tahoma" w:asciiTheme="minorEastAsia" w:hAnsiTheme="minorEastAsia"/>
          <w:kern w:val="0"/>
          <w:sz w:val="24"/>
          <w:szCs w:val="24"/>
        </w:rPr>
        <w:t>(2)．符合同等学力申请硕士学位条件者，通过同等学力学位课程考试并论文答辩者，由暨南大学大学授予管理学硕士学位。</w:t>
      </w:r>
    </w:p>
    <w:p>
      <w:pPr>
        <w:adjustRightInd w:val="0"/>
        <w:snapToGrid w:val="0"/>
        <w:spacing w:line="360" w:lineRule="auto"/>
        <w:ind w:firstLine="420"/>
        <w:rPr>
          <w:rFonts w:hint="eastAsia" w:ascii="Times New Roman" w:hAnsi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>
        <w:rPr>
          <w:rFonts w:hint="eastAsia" w:ascii="Times New Roman" w:hAnsi="Arial"/>
          <w:sz w:val="28"/>
          <w:szCs w:val="28"/>
        </w:rPr>
        <w:t>、课程咨询：王老师、陈老师   电话： 010-59480917</w:t>
      </w:r>
    </w:p>
    <w:p>
      <w:pPr>
        <w:wordWrap w:val="0"/>
        <w:spacing w:line="360" w:lineRule="auto"/>
        <w:ind w:firstLine="120" w:firstLineChars="5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br w:type="textWrapping"/>
      </w:r>
    </w:p>
    <w:p>
      <w:pPr>
        <w:wordWrap w:val="0"/>
        <w:spacing w:line="360" w:lineRule="auto"/>
        <w:ind w:firstLine="120" w:firstLineChars="50"/>
        <w:rPr>
          <w:rFonts w:hint="eastAsia" w:asciiTheme="minorEastAsia" w:hAnsiTheme="minorEastAsia"/>
          <w:sz w:val="24"/>
          <w:szCs w:val="24"/>
        </w:rPr>
      </w:pPr>
    </w:p>
    <w:p>
      <w:pPr>
        <w:wordWrap w:val="0"/>
        <w:spacing w:line="360" w:lineRule="auto"/>
        <w:ind w:firstLine="120" w:firstLineChars="50"/>
        <w:rPr>
          <w:rFonts w:asciiTheme="minorEastAsia" w:hAnsiTheme="minorEastAsia"/>
          <w:sz w:val="24"/>
          <w:szCs w:val="24"/>
        </w:rPr>
      </w:pPr>
    </w:p>
    <w:p>
      <w:pPr>
        <w:wordWrap w:val="0"/>
        <w:spacing w:line="360" w:lineRule="auto"/>
        <w:ind w:firstLine="120" w:firstLineChars="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备注：根据国务院学位办相关文件规定，已获得学士学位并在获得学士学位后工作三年以上，或虽无学士学位但已获得硕士或博士学位者，在教学、科研、专门技术、管理等方面做出优秀成绩的，可向我校提出硕士学位申请，经我校统一认定后，可报名参加全国同等学力人员外国语水平考试与学科综合水平考试。</w:t>
      </w:r>
    </w:p>
    <w:p>
      <w:pPr>
        <w:wordWrap w:val="0"/>
        <w:spacing w:line="360" w:lineRule="auto"/>
        <w:ind w:firstLine="120" w:firstLineChars="50"/>
        <w:rPr>
          <w:rFonts w:asciiTheme="minorEastAsia" w:hAnsiTheme="minorEastAsia"/>
          <w:sz w:val="24"/>
          <w:szCs w:val="24"/>
        </w:rPr>
      </w:pPr>
    </w:p>
    <w:p>
      <w:pPr>
        <w:tabs>
          <w:tab w:val="left" w:pos="540"/>
        </w:tabs>
        <w:rPr>
          <w:rFonts w:ascii="黑体" w:hAnsi="黑体" w:eastAsia="黑体"/>
          <w:b/>
          <w:color w:val="FF0000"/>
          <w:sz w:val="52"/>
          <w:szCs w:val="52"/>
        </w:rPr>
      </w:pPr>
    </w:p>
    <w:p>
      <w:pPr>
        <w:tabs>
          <w:tab w:val="left" w:pos="540"/>
        </w:tabs>
        <w:rPr>
          <w:rFonts w:ascii="黑体" w:hAnsi="黑体" w:eastAsia="黑体"/>
          <w:b/>
          <w:color w:val="FF0000"/>
          <w:sz w:val="52"/>
          <w:szCs w:val="52"/>
        </w:rPr>
      </w:pPr>
      <w:r>
        <w:rPr>
          <w:rFonts w:hint="eastAsia" w:ascii="黑体" w:hAnsi="黑体" w:eastAsia="黑体"/>
          <w:b/>
          <w:color w:val="FF0000"/>
          <w:sz w:val="52"/>
          <w:szCs w:val="52"/>
        </w:rPr>
        <w:t xml:space="preserve">     同等学力申硕有哪些优势？</w:t>
      </w:r>
    </w:p>
    <w:p>
      <w:pPr>
        <w:tabs>
          <w:tab w:val="left" w:pos="540"/>
        </w:tabs>
        <w:ind w:left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答：1.不考数学，只考外语和专业综合两门；</w:t>
      </w:r>
    </w:p>
    <w:p>
      <w:pPr>
        <w:tabs>
          <w:tab w:val="left" w:pos="540"/>
        </w:tabs>
        <w:ind w:left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2.可以分阶段参加外语和专业综合考试，每通过一门都保留成绩，压力相对较小；</w:t>
      </w:r>
    </w:p>
    <w:p>
      <w:pPr>
        <w:tabs>
          <w:tab w:val="left" w:pos="540"/>
        </w:tabs>
        <w:ind w:left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3.先免试入学，修学分和申硕考试同步进行，结省时间，最快2.5-3年就可以拿到硕士学位</w:t>
      </w:r>
    </w:p>
    <w:p>
      <w:pPr>
        <w:tabs>
          <w:tab w:val="left" w:pos="540"/>
        </w:tabs>
        <w:ind w:left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4.不划分数线，只要考及格就可以，同学之间没有竟争性；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5.只有入学的学员才能参加申硕考试，竟争力小。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  <w:bookmarkStart w:id="0" w:name="_GoBack"/>
      <w:bookmarkEnd w:id="0"/>
    </w:p>
    <w:tbl>
      <w:tblPr>
        <w:tblStyle w:val="7"/>
        <w:tblW w:w="8331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378"/>
        <w:gridCol w:w="1158"/>
        <w:gridCol w:w="1675"/>
        <w:gridCol w:w="237"/>
        <w:gridCol w:w="1440"/>
        <w:gridCol w:w="558"/>
        <w:gridCol w:w="558"/>
        <w:gridCol w:w="118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31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暨南大学高级课程研修报名表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31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99CC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考生基本信息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考生类型：</w:t>
            </w:r>
          </w:p>
        </w:tc>
        <w:tc>
          <w:tcPr>
            <w:tcW w:w="321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中国大陆考生 </w:t>
            </w:r>
          </w:p>
        </w:tc>
        <w:tc>
          <w:tcPr>
            <w:tcW w:w="22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考生姓名：</w:t>
            </w:r>
          </w:p>
        </w:tc>
        <w:tc>
          <w:tcPr>
            <w:tcW w:w="15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考生姓名拼音： </w:t>
            </w:r>
          </w:p>
        </w:tc>
        <w:tc>
          <w:tcPr>
            <w:tcW w:w="22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39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证件类型：</w:t>
            </w:r>
          </w:p>
        </w:tc>
        <w:tc>
          <w:tcPr>
            <w:tcW w:w="15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证件号码：</w:t>
            </w:r>
          </w:p>
        </w:tc>
        <w:tc>
          <w:tcPr>
            <w:tcW w:w="22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39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出生日期：</w:t>
            </w:r>
          </w:p>
        </w:tc>
        <w:tc>
          <w:tcPr>
            <w:tcW w:w="15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民族：</w:t>
            </w:r>
          </w:p>
        </w:tc>
        <w:tc>
          <w:tcPr>
            <w:tcW w:w="22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39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性别：</w:t>
            </w:r>
          </w:p>
        </w:tc>
        <w:tc>
          <w:tcPr>
            <w:tcW w:w="15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婚否：</w:t>
            </w:r>
          </w:p>
        </w:tc>
        <w:tc>
          <w:tcPr>
            <w:tcW w:w="22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39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政治面貌：</w:t>
            </w:r>
          </w:p>
        </w:tc>
        <w:tc>
          <w:tcPr>
            <w:tcW w:w="15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现役军人：</w:t>
            </w:r>
          </w:p>
        </w:tc>
        <w:tc>
          <w:tcPr>
            <w:tcW w:w="22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39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出生地：</w:t>
            </w:r>
          </w:p>
        </w:tc>
        <w:tc>
          <w:tcPr>
            <w:tcW w:w="15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籍贯地：</w:t>
            </w:r>
          </w:p>
        </w:tc>
        <w:tc>
          <w:tcPr>
            <w:tcW w:w="22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39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考生档案所在地：</w:t>
            </w:r>
          </w:p>
        </w:tc>
        <w:tc>
          <w:tcPr>
            <w:tcW w:w="15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考生档案所在单位：</w:t>
            </w:r>
          </w:p>
        </w:tc>
        <w:tc>
          <w:tcPr>
            <w:tcW w:w="22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39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考生档案</w:t>
            </w:r>
          </w:p>
          <w:p>
            <w:pP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所在单位邮编：</w:t>
            </w:r>
          </w:p>
        </w:tc>
        <w:tc>
          <w:tcPr>
            <w:tcW w:w="15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考生档案</w:t>
            </w:r>
          </w:p>
          <w:p>
            <w:pP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所在单位地址：</w:t>
            </w:r>
          </w:p>
        </w:tc>
        <w:tc>
          <w:tcPr>
            <w:tcW w:w="22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39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户口所在地：</w:t>
            </w:r>
          </w:p>
        </w:tc>
        <w:tc>
          <w:tcPr>
            <w:tcW w:w="15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考生来源：</w:t>
            </w:r>
          </w:p>
        </w:tc>
        <w:tc>
          <w:tcPr>
            <w:tcW w:w="22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39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现学习或工作</w:t>
            </w:r>
          </w:p>
          <w:p>
            <w:pP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单位性质：</w:t>
            </w:r>
          </w:p>
        </w:tc>
        <w:tc>
          <w:tcPr>
            <w:tcW w:w="15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现学习或工作单位：</w:t>
            </w:r>
          </w:p>
        </w:tc>
        <w:tc>
          <w:tcPr>
            <w:tcW w:w="397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学习或工作经历：</w:t>
            </w:r>
          </w:p>
        </w:tc>
        <w:tc>
          <w:tcPr>
            <w:tcW w:w="15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1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工作或学习单位</w:t>
            </w:r>
          </w:p>
        </w:tc>
        <w:tc>
          <w:tcPr>
            <w:tcW w:w="397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ind w:firstLine="1800" w:firstLineChars="10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任何职务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7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7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7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7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4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家庭主要成员：</w:t>
            </w:r>
          </w:p>
        </w:tc>
        <w:tc>
          <w:tcPr>
            <w:tcW w:w="15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279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在何单位工作/任何职务</w:t>
            </w:r>
          </w:p>
        </w:tc>
        <w:tc>
          <w:tcPr>
            <w:tcW w:w="11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9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9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9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奖励或处分：</w:t>
            </w:r>
          </w:p>
        </w:tc>
        <w:tc>
          <w:tcPr>
            <w:tcW w:w="7185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学术论文和著作：</w:t>
            </w:r>
          </w:p>
        </w:tc>
        <w:tc>
          <w:tcPr>
            <w:tcW w:w="7185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31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99CC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考生学位学历信息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毕业单位：</w:t>
            </w:r>
          </w:p>
        </w:tc>
        <w:tc>
          <w:tcPr>
            <w:tcW w:w="307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毕业专业：</w:t>
            </w:r>
          </w:p>
        </w:tc>
        <w:tc>
          <w:tcPr>
            <w:tcW w:w="229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毕业年月：</w:t>
            </w:r>
          </w:p>
        </w:tc>
        <w:tc>
          <w:tcPr>
            <w:tcW w:w="307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毕业证书编号：</w:t>
            </w:r>
          </w:p>
        </w:tc>
        <w:tc>
          <w:tcPr>
            <w:tcW w:w="229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取得学历的学习形式：</w:t>
            </w:r>
          </w:p>
        </w:tc>
        <w:tc>
          <w:tcPr>
            <w:tcW w:w="307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学士学位证书编号：</w:t>
            </w:r>
          </w:p>
        </w:tc>
        <w:tc>
          <w:tcPr>
            <w:tcW w:w="229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最后学位：</w:t>
            </w:r>
          </w:p>
        </w:tc>
        <w:tc>
          <w:tcPr>
            <w:tcW w:w="307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最后学历：</w:t>
            </w:r>
          </w:p>
        </w:tc>
        <w:tc>
          <w:tcPr>
            <w:tcW w:w="229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31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99CCFF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考生报考信息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报考单位：</w:t>
            </w:r>
          </w:p>
        </w:tc>
        <w:tc>
          <w:tcPr>
            <w:tcW w:w="307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报考院系所：</w:t>
            </w:r>
          </w:p>
        </w:tc>
        <w:tc>
          <w:tcPr>
            <w:tcW w:w="229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报考专业：</w:t>
            </w:r>
          </w:p>
        </w:tc>
        <w:tc>
          <w:tcPr>
            <w:tcW w:w="307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9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备注：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0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331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99CCFF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18"/>
              </w:rPr>
              <w:t>考生联系方式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通信地址：</w:t>
            </w:r>
          </w:p>
        </w:tc>
        <w:tc>
          <w:tcPr>
            <w:tcW w:w="680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通信地址邮政编码：</w:t>
            </w:r>
          </w:p>
        </w:tc>
        <w:tc>
          <w:tcPr>
            <w:tcW w:w="680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固定电话：</w:t>
            </w:r>
          </w:p>
        </w:tc>
        <w:tc>
          <w:tcPr>
            <w:tcW w:w="680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移动电话：</w:t>
            </w:r>
          </w:p>
        </w:tc>
        <w:tc>
          <w:tcPr>
            <w:tcW w:w="680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电子信箱：</w:t>
            </w:r>
          </w:p>
        </w:tc>
        <w:tc>
          <w:tcPr>
            <w:tcW w:w="680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FF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备注：</w:t>
            </w:r>
          </w:p>
        </w:tc>
        <w:tc>
          <w:tcPr>
            <w:tcW w:w="680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0EC5"/>
    <w:rsid w:val="00031AC9"/>
    <w:rsid w:val="00037C69"/>
    <w:rsid w:val="00101D92"/>
    <w:rsid w:val="00190585"/>
    <w:rsid w:val="001A5291"/>
    <w:rsid w:val="001A6B40"/>
    <w:rsid w:val="001C526C"/>
    <w:rsid w:val="001C7591"/>
    <w:rsid w:val="001F7E99"/>
    <w:rsid w:val="00293218"/>
    <w:rsid w:val="002D33F8"/>
    <w:rsid w:val="00307C62"/>
    <w:rsid w:val="00391C58"/>
    <w:rsid w:val="00410B33"/>
    <w:rsid w:val="00445AD5"/>
    <w:rsid w:val="004B3B7E"/>
    <w:rsid w:val="004F1033"/>
    <w:rsid w:val="00582FD6"/>
    <w:rsid w:val="005918BD"/>
    <w:rsid w:val="005C50B3"/>
    <w:rsid w:val="006243E1"/>
    <w:rsid w:val="006E09EA"/>
    <w:rsid w:val="00710D45"/>
    <w:rsid w:val="00714708"/>
    <w:rsid w:val="00732991"/>
    <w:rsid w:val="00802DD9"/>
    <w:rsid w:val="008B0056"/>
    <w:rsid w:val="009647F9"/>
    <w:rsid w:val="009A5D93"/>
    <w:rsid w:val="009D18AF"/>
    <w:rsid w:val="009E2812"/>
    <w:rsid w:val="009F5416"/>
    <w:rsid w:val="00A865F2"/>
    <w:rsid w:val="00B71E3A"/>
    <w:rsid w:val="00BF6484"/>
    <w:rsid w:val="00C00EC5"/>
    <w:rsid w:val="00C01FA1"/>
    <w:rsid w:val="00CC213F"/>
    <w:rsid w:val="00CC3C3E"/>
    <w:rsid w:val="00CF5773"/>
    <w:rsid w:val="00D10088"/>
    <w:rsid w:val="00D70581"/>
    <w:rsid w:val="00DA4B99"/>
    <w:rsid w:val="00E212BD"/>
    <w:rsid w:val="00E84B4C"/>
    <w:rsid w:val="00EA34C4"/>
    <w:rsid w:val="00F35DED"/>
    <w:rsid w:val="00F87B88"/>
    <w:rsid w:val="00FA7E38"/>
    <w:rsid w:val="00FC7CC7"/>
    <w:rsid w:val="02641376"/>
    <w:rsid w:val="211F7CF3"/>
    <w:rsid w:val="212E4E38"/>
    <w:rsid w:val="23705C94"/>
    <w:rsid w:val="248E2911"/>
    <w:rsid w:val="34823A77"/>
    <w:rsid w:val="64C32468"/>
    <w:rsid w:val="6B2E0E2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10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494</Words>
  <Characters>2818</Characters>
  <Lines>23</Lines>
  <Paragraphs>6</Paragraphs>
  <TotalTime>0</TotalTime>
  <ScaleCrop>false</ScaleCrop>
  <LinksUpToDate>false</LinksUpToDate>
  <CharactersWithSpaces>3306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2014-05-13T06:14:00Z</dcterms:created>
  <dc:creator>微软用户</dc:creator>
  <cp:lastModifiedBy>Administrator</cp:lastModifiedBy>
  <cp:lastPrinted>2015-04-01T05:46:00Z</cp:lastPrinted>
  <dcterms:modified xsi:type="dcterms:W3CDTF">2017-03-24T08:53:09Z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