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04" w:rsidRDefault="00443371">
      <w:pPr>
        <w:spacing w:line="440" w:lineRule="exact"/>
        <w:jc w:val="center"/>
        <w:rPr>
          <w:b/>
          <w:sz w:val="30"/>
          <w:szCs w:val="30"/>
        </w:rPr>
      </w:pPr>
      <w:bookmarkStart w:id="0" w:name="_GoBack"/>
      <w:r>
        <w:rPr>
          <w:noProof/>
        </w:rPr>
        <w:drawing>
          <wp:anchor distT="0" distB="0" distL="114300" distR="114300" simplePos="0" relativeHeight="251662336" behindDoc="0" locked="0" layoutInCell="1" allowOverlap="1">
            <wp:simplePos x="0" y="0"/>
            <wp:positionH relativeFrom="margin">
              <wp:posOffset>1408430</wp:posOffset>
            </wp:positionH>
            <wp:positionV relativeFrom="paragraph">
              <wp:posOffset>-372110</wp:posOffset>
            </wp:positionV>
            <wp:extent cx="2152650" cy="772160"/>
            <wp:effectExtent l="0" t="0" r="0" b="889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2650" cy="772160"/>
                    </a:xfrm>
                    <a:prstGeom prst="rect">
                      <a:avLst/>
                    </a:prstGeom>
                  </pic:spPr>
                </pic:pic>
              </a:graphicData>
            </a:graphic>
          </wp:anchor>
        </w:drawing>
      </w:r>
      <w:r>
        <w:rPr>
          <w:rFonts w:ascii="宋体" w:hAnsi="宋体" w:cs="宋体" w:hint="eastAsia"/>
          <w:b/>
          <w:bCs/>
          <w:sz w:val="30"/>
          <w:szCs w:val="30"/>
        </w:rPr>
        <w:t>南开大学金融学院金融学专业</w:t>
      </w:r>
      <w:r>
        <w:rPr>
          <w:rFonts w:hint="eastAsia"/>
          <w:b/>
          <w:sz w:val="30"/>
          <w:szCs w:val="30"/>
        </w:rPr>
        <w:t>金融投资与理财方向</w:t>
      </w:r>
    </w:p>
    <w:p w:rsidR="00AB0004" w:rsidRDefault="00443371">
      <w:pPr>
        <w:spacing w:line="440" w:lineRule="exact"/>
        <w:jc w:val="center"/>
        <w:rPr>
          <w:rFonts w:ascii="宋体" w:hAnsi="宋体" w:cs="宋体"/>
          <w:b/>
          <w:bCs/>
          <w:sz w:val="30"/>
          <w:szCs w:val="30"/>
        </w:rPr>
      </w:pPr>
      <w:r>
        <w:rPr>
          <w:rFonts w:ascii="宋体" w:hAnsi="宋体" w:cs="宋体" w:hint="eastAsia"/>
          <w:b/>
          <w:bCs/>
          <w:sz w:val="30"/>
          <w:szCs w:val="30"/>
        </w:rPr>
        <w:t>课程研修班招生简章济南班</w:t>
      </w:r>
    </w:p>
    <w:bookmarkEnd w:id="0"/>
    <w:p w:rsidR="00AB0004" w:rsidRDefault="00AB0004">
      <w:pPr>
        <w:spacing w:line="380" w:lineRule="exact"/>
        <w:jc w:val="center"/>
        <w:rPr>
          <w:rFonts w:ascii="宋体" w:hAnsi="宋体" w:cs="宋体"/>
          <w:b/>
          <w:bCs/>
          <w:szCs w:val="21"/>
        </w:rPr>
      </w:pPr>
    </w:p>
    <w:p w:rsidR="00AB0004" w:rsidRDefault="00443371">
      <w:pPr>
        <w:spacing w:line="380" w:lineRule="exact"/>
        <w:rPr>
          <w:rFonts w:ascii="宋体" w:hAnsi="宋体" w:cs="宋体"/>
          <w:szCs w:val="21"/>
        </w:rPr>
      </w:pPr>
      <w:r>
        <w:rPr>
          <w:rFonts w:ascii="宋体" w:hAnsi="宋体" w:cs="宋体" w:hint="eastAsia"/>
          <w:szCs w:val="21"/>
        </w:rPr>
        <w:t xml:space="preserve">    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AB0004" w:rsidRDefault="00AB0004">
      <w:pPr>
        <w:spacing w:line="380" w:lineRule="exact"/>
        <w:rPr>
          <w:rFonts w:ascii="宋体" w:hAnsi="宋体" w:cs="宋体"/>
          <w:szCs w:val="21"/>
        </w:rPr>
      </w:pPr>
    </w:p>
    <w:p w:rsidR="00AB0004" w:rsidRDefault="00443371">
      <w:pPr>
        <w:spacing w:line="380" w:lineRule="exact"/>
        <w:rPr>
          <w:rFonts w:ascii="宋体" w:hAnsi="宋体" w:cs="宋体"/>
          <w:b/>
          <w:bCs/>
          <w:szCs w:val="21"/>
        </w:rPr>
      </w:pPr>
      <w:r>
        <w:rPr>
          <w:rFonts w:ascii="宋体" w:hAnsi="宋体" w:cs="宋体" w:hint="eastAsia"/>
          <w:b/>
          <w:bCs/>
          <w:szCs w:val="21"/>
        </w:rPr>
        <w:t>一、专业简述</w:t>
      </w:r>
    </w:p>
    <w:p w:rsidR="00AB0004" w:rsidRDefault="00443371">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539750</wp:posOffset>
            </wp:positionV>
            <wp:extent cx="2790190" cy="27901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2015年，南开大学正式成立了国内综合性大学唯一的金融学院，将原经济学院金融学系、风险管理与保险学系整建制划归入金融学院。学院以“一流研究立院、一流人才强院、一流机制兴院”为宗旨，以“建设国际化、高水平、世界一流的金融学院，实现跨越式发展为目标”。</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 xml:space="preserve">金融学专业课程涵盖金融经济理论知识和能力培养范畴。金融学是研究价值判断和价值规律的学科，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天津市学位委员会获准，由南开大学研究生院、金融学院研究决定在济南地区举办金融学专业金融投资与理财方向在职读研课程研修班。</w:t>
      </w:r>
    </w:p>
    <w:p w:rsidR="00AB0004" w:rsidRDefault="00AB0004">
      <w:pPr>
        <w:spacing w:line="380" w:lineRule="exact"/>
        <w:rPr>
          <w:rFonts w:ascii="宋体" w:hAnsi="宋体" w:cs="宋体"/>
          <w:szCs w:val="21"/>
        </w:rPr>
      </w:pPr>
    </w:p>
    <w:p w:rsidR="00AB0004" w:rsidRDefault="00443371">
      <w:pPr>
        <w:spacing w:line="380" w:lineRule="exact"/>
        <w:rPr>
          <w:rFonts w:ascii="宋体" w:hAnsi="宋体" w:cs="宋体"/>
          <w:b/>
          <w:bCs/>
          <w:szCs w:val="21"/>
        </w:rPr>
      </w:pPr>
      <w:r>
        <w:rPr>
          <w:rFonts w:ascii="宋体" w:hAnsi="宋体" w:cs="宋体" w:hint="eastAsia"/>
          <w:b/>
          <w:bCs/>
          <w:szCs w:val="21"/>
        </w:rPr>
        <w:t>二、培养目标</w:t>
      </w:r>
    </w:p>
    <w:p w:rsidR="00AB0004" w:rsidRDefault="00443371">
      <w:pPr>
        <w:ind w:firstLineChars="200" w:firstLine="420"/>
      </w:pPr>
      <w:r>
        <w:rPr>
          <w:rFonts w:ascii="宋体" w:hAnsi="宋体" w:cs="宋体" w:hint="eastAsia"/>
          <w:szCs w:val="21"/>
        </w:rPr>
        <w:t>1、</w:t>
      </w:r>
      <w:r>
        <w:rPr>
          <w:rFonts w:hint="eastAsia"/>
        </w:rPr>
        <w:t>本专业适应地方经济建设和社会发展需要，面向社会，具备适应相关岗位工作的基本操作技能和营销服务技能，能够较好地与客户沟通的德、智、体、美等全面发展的高素质技能型人才；</w:t>
      </w:r>
    </w:p>
    <w:p w:rsidR="00AB0004" w:rsidRDefault="00443371">
      <w:pPr>
        <w:spacing w:line="380" w:lineRule="exact"/>
        <w:rPr>
          <w:rFonts w:ascii="宋体" w:hAnsi="宋体" w:cs="宋体"/>
          <w:szCs w:val="21"/>
        </w:rPr>
      </w:pPr>
      <w:r>
        <w:rPr>
          <w:rFonts w:ascii="宋体" w:hAnsi="宋体" w:cs="宋体" w:hint="eastAsia"/>
          <w:szCs w:val="21"/>
        </w:rPr>
        <w:t xml:space="preserve">    2、 通过学习使学员具备坚实的专业基础理论和系统的专业知识，并提高科学研究能力，课程学习成绩合格者可申请本专业硕士学位。</w:t>
      </w:r>
    </w:p>
    <w:p w:rsidR="00AB0004" w:rsidRDefault="00AB0004">
      <w:pPr>
        <w:spacing w:line="380" w:lineRule="exact"/>
        <w:rPr>
          <w:rFonts w:ascii="宋体" w:hAnsi="宋体" w:cs="宋体"/>
          <w:b/>
          <w:bCs/>
          <w:szCs w:val="21"/>
        </w:rPr>
      </w:pPr>
    </w:p>
    <w:p w:rsidR="00AB0004" w:rsidRDefault="00443371">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【获学位】报读课程班考试合格者，可获得南开大学金融学专业在职读研课程班结业证书，通过全国统考者更可申请南开大学经济学硕士学位；</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【重实战】选修课根据学员的实际需求度身定做，涉及股权投资、量化交易、资产证券化、融资租赁、保险资金运用等不同专业方向的实战内容；</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【师资强】身居要职的金融家亲自担任研究生校外导师，开设讲座课程言传身教，分析</w:t>
      </w:r>
      <w:r>
        <w:rPr>
          <w:rFonts w:ascii="宋体" w:hAnsi="宋体" w:cs="宋体" w:hint="eastAsia"/>
          <w:szCs w:val="21"/>
        </w:rPr>
        <w:lastRenderedPageBreak/>
        <w:t>实势热点、传授实务经验，分享实战技巧，更有可能获得大师级金融家的实务指导；</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【通过率高】授课教师多为同等学力申硕考试一线指导老师，能根据每年考纲重点变化，紧扣考点串讲，使得申硕通过率高于普通专业近10%；</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【学费低】南开大学金融学专业学费2年仅2.6万元，远低于同等985工程、211工程院校同等专业学费；</w:t>
      </w:r>
    </w:p>
    <w:p w:rsidR="00AB0004" w:rsidRDefault="00443371">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AB0004" w:rsidRDefault="00AB0004">
      <w:pPr>
        <w:spacing w:line="380" w:lineRule="exact"/>
        <w:rPr>
          <w:rFonts w:ascii="宋体" w:hAnsi="宋体" w:cs="宋体"/>
          <w:b/>
          <w:bCs/>
          <w:szCs w:val="21"/>
        </w:rPr>
      </w:pPr>
    </w:p>
    <w:p w:rsidR="00AB0004" w:rsidRDefault="00443371">
      <w:pPr>
        <w:numPr>
          <w:ilvl w:val="0"/>
          <w:numId w:val="1"/>
        </w:numPr>
        <w:spacing w:line="380" w:lineRule="exact"/>
        <w:rPr>
          <w:rFonts w:ascii="宋体" w:hAnsi="宋体" w:cs="宋体"/>
          <w:b/>
          <w:bCs/>
          <w:szCs w:val="21"/>
        </w:rPr>
      </w:pPr>
      <w:r>
        <w:rPr>
          <w:rFonts w:ascii="宋体" w:hAnsi="宋体" w:cs="宋体" w:hint="eastAsia"/>
          <w:b/>
          <w:bCs/>
          <w:szCs w:val="21"/>
        </w:rPr>
        <w:t>课程设置</w:t>
      </w:r>
    </w:p>
    <w:p w:rsidR="00AB0004" w:rsidRDefault="00AB0004">
      <w:pPr>
        <w:spacing w:line="380" w:lineRule="exact"/>
        <w:rPr>
          <w:rFonts w:ascii="宋体" w:hAnsi="宋体" w:cs="宋体"/>
          <w:b/>
          <w:bCs/>
          <w:szCs w:val="21"/>
        </w:rPr>
      </w:pPr>
    </w:p>
    <w:tbl>
      <w:tblPr>
        <w:tblStyle w:val="a5"/>
        <w:tblW w:w="8522" w:type="dxa"/>
        <w:tblLayout w:type="fixed"/>
        <w:tblLook w:val="04A0"/>
      </w:tblPr>
      <w:tblGrid>
        <w:gridCol w:w="1441"/>
        <w:gridCol w:w="3270"/>
        <w:gridCol w:w="3811"/>
      </w:tblGrid>
      <w:tr w:rsidR="00AB0004">
        <w:trPr>
          <w:trHeight w:val="505"/>
        </w:trPr>
        <w:tc>
          <w:tcPr>
            <w:tcW w:w="8522" w:type="dxa"/>
            <w:gridSpan w:val="3"/>
          </w:tcPr>
          <w:p w:rsidR="00AB0004" w:rsidRDefault="00443371">
            <w:pPr>
              <w:spacing w:line="380" w:lineRule="exact"/>
              <w:jc w:val="center"/>
              <w:rPr>
                <w:rFonts w:ascii="宋体" w:hAnsi="宋体" w:cs="宋体"/>
                <w:kern w:val="0"/>
                <w:szCs w:val="21"/>
              </w:rPr>
            </w:pPr>
            <w:r>
              <w:rPr>
                <w:rFonts w:ascii="宋体" w:hAnsi="宋体" w:cs="宋体" w:hint="eastAsia"/>
                <w:b/>
                <w:bCs/>
                <w:kern w:val="0"/>
                <w:szCs w:val="21"/>
              </w:rPr>
              <w:t>金融学专业金融投资与理财方向课程设置</w:t>
            </w:r>
          </w:p>
        </w:tc>
      </w:tr>
      <w:tr w:rsidR="00AB0004">
        <w:tc>
          <w:tcPr>
            <w:tcW w:w="1441" w:type="dxa"/>
            <w:vMerge w:val="restart"/>
          </w:tcPr>
          <w:p w:rsidR="00AB0004" w:rsidRDefault="00AB0004">
            <w:pPr>
              <w:spacing w:line="380" w:lineRule="exact"/>
              <w:rPr>
                <w:rFonts w:ascii="宋体" w:hAnsi="宋体" w:cs="宋体"/>
                <w:kern w:val="0"/>
                <w:szCs w:val="21"/>
              </w:rPr>
            </w:pPr>
          </w:p>
          <w:p w:rsidR="00AB0004" w:rsidRDefault="00443371">
            <w:pPr>
              <w:spacing w:line="380" w:lineRule="exact"/>
              <w:ind w:firstLineChars="100" w:firstLine="210"/>
              <w:rPr>
                <w:rFonts w:ascii="宋体" w:hAnsi="宋体" w:cs="宋体"/>
                <w:kern w:val="0"/>
                <w:szCs w:val="21"/>
              </w:rPr>
            </w:pPr>
            <w:r>
              <w:rPr>
                <w:rFonts w:ascii="宋体" w:hAnsi="宋体" w:cs="宋体" w:hint="eastAsia"/>
                <w:kern w:val="0"/>
                <w:szCs w:val="21"/>
              </w:rPr>
              <w:t>必修课</w:t>
            </w: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马克思主义理论</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英语</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中级微观经济学</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中级宏观经济学</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应用统计分析</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货币经济学</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金融经济学</w:t>
            </w:r>
          </w:p>
        </w:tc>
        <w:tc>
          <w:tcPr>
            <w:tcW w:w="3811" w:type="dxa"/>
          </w:tcPr>
          <w:p w:rsidR="00AB0004" w:rsidRDefault="00AB0004">
            <w:pPr>
              <w:spacing w:line="380" w:lineRule="exact"/>
              <w:rPr>
                <w:rFonts w:ascii="宋体" w:hAnsi="宋体" w:cs="宋体"/>
                <w:kern w:val="0"/>
                <w:szCs w:val="21"/>
              </w:rPr>
            </w:pPr>
          </w:p>
        </w:tc>
      </w:tr>
      <w:tr w:rsidR="00AB0004">
        <w:tc>
          <w:tcPr>
            <w:tcW w:w="1441" w:type="dxa"/>
            <w:vMerge w:val="restart"/>
          </w:tcPr>
          <w:p w:rsidR="00AB0004" w:rsidRDefault="00AB0004">
            <w:pPr>
              <w:spacing w:line="380" w:lineRule="exact"/>
              <w:rPr>
                <w:rFonts w:ascii="宋体" w:hAnsi="宋体" w:cs="宋体"/>
                <w:kern w:val="0"/>
                <w:szCs w:val="21"/>
              </w:rPr>
            </w:pPr>
          </w:p>
          <w:p w:rsidR="00AB0004" w:rsidRDefault="00AB0004">
            <w:pPr>
              <w:spacing w:line="380" w:lineRule="exact"/>
              <w:rPr>
                <w:rFonts w:ascii="宋体" w:hAnsi="宋体" w:cs="宋体"/>
                <w:kern w:val="0"/>
                <w:szCs w:val="21"/>
              </w:rPr>
            </w:pPr>
          </w:p>
          <w:p w:rsidR="00AB0004" w:rsidRDefault="00443371">
            <w:pPr>
              <w:spacing w:line="380" w:lineRule="exact"/>
              <w:ind w:firstLineChars="100" w:firstLine="210"/>
              <w:rPr>
                <w:rFonts w:ascii="宋体" w:hAnsi="宋体" w:cs="宋体"/>
                <w:kern w:val="0"/>
                <w:szCs w:val="21"/>
              </w:rPr>
            </w:pPr>
            <w:r>
              <w:rPr>
                <w:rFonts w:ascii="宋体" w:hAnsi="宋体" w:cs="宋体" w:hint="eastAsia"/>
                <w:kern w:val="0"/>
                <w:szCs w:val="21"/>
              </w:rPr>
              <w:t>选修课</w:t>
            </w:r>
          </w:p>
        </w:tc>
        <w:tc>
          <w:tcPr>
            <w:tcW w:w="3270" w:type="dxa"/>
          </w:tcPr>
          <w:p w:rsidR="00AB0004" w:rsidRDefault="00443371">
            <w:pPr>
              <w:spacing w:line="380" w:lineRule="exact"/>
              <w:rPr>
                <w:rFonts w:ascii="宋体" w:hAnsi="宋体" w:cs="宋体"/>
                <w:kern w:val="0"/>
                <w:szCs w:val="21"/>
              </w:rPr>
            </w:pPr>
            <w:r>
              <w:rPr>
                <w:rFonts w:ascii="宋体" w:hAnsi="宋体" w:cs="宋体" w:hint="eastAsia"/>
                <w:noProof/>
                <w:kern w:val="0"/>
                <w:sz w:val="20"/>
                <w:szCs w:val="21"/>
              </w:rPr>
              <w:drawing>
                <wp:anchor distT="0" distB="0" distL="114300" distR="114300" simplePos="0" relativeHeight="251660288" behindDoc="1" locked="0" layoutInCell="1" allowOverlap="1">
                  <wp:simplePos x="0" y="0"/>
                  <wp:positionH relativeFrom="column">
                    <wp:posOffset>380365</wp:posOffset>
                  </wp:positionH>
                  <wp:positionV relativeFrom="paragraph">
                    <wp:posOffset>174625</wp:posOffset>
                  </wp:positionV>
                  <wp:extent cx="2790190" cy="27901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kern w:val="0"/>
                <w:szCs w:val="21"/>
              </w:rPr>
              <w:t>货币银行学</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财政学</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统计学原理</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投资银行</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并购与资产重组</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金融投资分析与实务</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金融投资风险管理</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国际金融与外汇市场</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财务战略与财务分析</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项目评估与管理</w:t>
            </w:r>
          </w:p>
        </w:tc>
      </w:tr>
      <w:tr w:rsidR="00AB0004">
        <w:tc>
          <w:tcPr>
            <w:tcW w:w="1441" w:type="dxa"/>
            <w:vMerge/>
          </w:tcPr>
          <w:p w:rsidR="00AB0004" w:rsidRDefault="00AB0004">
            <w:pPr>
              <w:spacing w:line="380" w:lineRule="exact"/>
              <w:rPr>
                <w:rFonts w:ascii="宋体" w:hAnsi="宋体" w:cs="宋体"/>
                <w:kern w:val="0"/>
                <w:szCs w:val="21"/>
              </w:rPr>
            </w:pPr>
          </w:p>
        </w:tc>
        <w:tc>
          <w:tcPr>
            <w:tcW w:w="3270" w:type="dxa"/>
          </w:tcPr>
          <w:p w:rsidR="00AB0004" w:rsidRDefault="00443371">
            <w:pPr>
              <w:spacing w:line="380" w:lineRule="exact"/>
              <w:rPr>
                <w:rFonts w:ascii="宋体" w:hAnsi="宋体" w:cs="宋体"/>
                <w:kern w:val="0"/>
                <w:szCs w:val="21"/>
              </w:rPr>
            </w:pPr>
            <w:r>
              <w:rPr>
                <w:rFonts w:ascii="宋体" w:hAnsi="宋体" w:cs="宋体" w:hint="eastAsia"/>
                <w:kern w:val="0"/>
                <w:szCs w:val="21"/>
              </w:rPr>
              <w:t>个人理财</w:t>
            </w:r>
          </w:p>
        </w:tc>
        <w:tc>
          <w:tcPr>
            <w:tcW w:w="3811" w:type="dxa"/>
          </w:tcPr>
          <w:p w:rsidR="00AB0004" w:rsidRDefault="00443371">
            <w:pPr>
              <w:spacing w:line="380" w:lineRule="exact"/>
              <w:rPr>
                <w:rFonts w:ascii="宋体" w:hAnsi="宋体" w:cs="宋体"/>
                <w:kern w:val="0"/>
                <w:szCs w:val="21"/>
              </w:rPr>
            </w:pPr>
            <w:r>
              <w:rPr>
                <w:rFonts w:ascii="宋体" w:hAnsi="宋体" w:cs="宋体" w:hint="eastAsia"/>
                <w:kern w:val="0"/>
                <w:szCs w:val="21"/>
              </w:rPr>
              <w:t>风险识别、控制与规避</w:t>
            </w:r>
          </w:p>
        </w:tc>
      </w:tr>
    </w:tbl>
    <w:p w:rsidR="00AB0004" w:rsidRDefault="00443371">
      <w:pPr>
        <w:spacing w:line="380" w:lineRule="exact"/>
        <w:jc w:val="center"/>
        <w:rPr>
          <w:rFonts w:ascii="宋体" w:hAnsi="宋体" w:cs="宋体"/>
          <w:szCs w:val="21"/>
        </w:rPr>
      </w:pPr>
      <w:r>
        <w:rPr>
          <w:rFonts w:ascii="宋体" w:hAnsi="宋体" w:cs="宋体" w:hint="eastAsia"/>
          <w:szCs w:val="21"/>
        </w:rPr>
        <w:t>（实际课程以上课时课程表为准）</w:t>
      </w:r>
    </w:p>
    <w:p w:rsidR="00AB0004" w:rsidRDefault="00AB0004">
      <w:pPr>
        <w:spacing w:line="380" w:lineRule="exact"/>
        <w:rPr>
          <w:rFonts w:ascii="宋体" w:hAnsi="宋体" w:cs="宋体"/>
          <w:szCs w:val="21"/>
        </w:rPr>
      </w:pPr>
    </w:p>
    <w:p w:rsidR="00AB0004" w:rsidRDefault="00443371">
      <w:pPr>
        <w:spacing w:line="380" w:lineRule="exact"/>
        <w:rPr>
          <w:rFonts w:ascii="宋体" w:hAnsi="宋体" w:cs="宋体"/>
          <w:b/>
          <w:bCs/>
          <w:szCs w:val="21"/>
        </w:rPr>
      </w:pPr>
      <w:r>
        <w:rPr>
          <w:rFonts w:ascii="宋体" w:hAnsi="宋体" w:cs="宋体" w:hint="eastAsia"/>
          <w:b/>
          <w:bCs/>
          <w:szCs w:val="21"/>
        </w:rPr>
        <w:t>五、招生条件及录取</w:t>
      </w:r>
    </w:p>
    <w:p w:rsidR="00AB0004" w:rsidRDefault="00443371">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AB0004" w:rsidRDefault="00443371">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AB0004" w:rsidRDefault="00443371">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AB0004" w:rsidRDefault="00443371">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AB0004" w:rsidRDefault="00443371">
      <w:pPr>
        <w:spacing w:line="380" w:lineRule="exact"/>
        <w:rPr>
          <w:rFonts w:ascii="宋体" w:hAnsi="宋体" w:cs="宋体"/>
          <w:szCs w:val="21"/>
        </w:rPr>
      </w:pPr>
      <w:r>
        <w:rPr>
          <w:rFonts w:ascii="宋体" w:hAnsi="宋体" w:cs="宋体" w:hint="eastAsia"/>
          <w:b/>
          <w:bCs/>
          <w:szCs w:val="21"/>
        </w:rPr>
        <w:t>注：</w:t>
      </w:r>
      <w:r>
        <w:rPr>
          <w:rFonts w:ascii="宋体" w:hAnsi="宋体" w:cs="宋体" w:hint="eastAsia"/>
          <w:szCs w:val="21"/>
        </w:rPr>
        <w:t>非本专业的报名学员需在课程班开班前参加预科班学习，补修本学科5门主干课，为课程班学习打下基础(微观经济学、宏观经济学、货币银行学、财政学、统计学原理)。</w:t>
      </w:r>
    </w:p>
    <w:p w:rsidR="00AB0004" w:rsidRDefault="00AB0004">
      <w:pPr>
        <w:spacing w:line="380" w:lineRule="exact"/>
        <w:rPr>
          <w:rFonts w:ascii="宋体" w:hAnsi="宋体" w:cs="宋体"/>
          <w:b/>
          <w:bCs/>
          <w:szCs w:val="21"/>
        </w:rPr>
      </w:pPr>
    </w:p>
    <w:p w:rsidR="00AB0004" w:rsidRDefault="00443371">
      <w:pPr>
        <w:spacing w:line="380" w:lineRule="exact"/>
        <w:rPr>
          <w:rFonts w:ascii="宋体" w:hAnsi="宋体" w:cs="宋体"/>
          <w:b/>
          <w:bCs/>
          <w:szCs w:val="21"/>
        </w:rPr>
      </w:pPr>
      <w:r>
        <w:rPr>
          <w:rFonts w:ascii="宋体" w:hAnsi="宋体" w:cs="宋体" w:hint="eastAsia"/>
          <w:b/>
          <w:bCs/>
          <w:szCs w:val="21"/>
        </w:rPr>
        <w:t>六、培养方式</w:t>
      </w:r>
    </w:p>
    <w:p w:rsidR="00AB0004" w:rsidRDefault="00443371">
      <w:pPr>
        <w:spacing w:line="380" w:lineRule="exact"/>
        <w:rPr>
          <w:rFonts w:ascii="宋体" w:hAnsi="宋体" w:cs="宋体"/>
          <w:szCs w:val="21"/>
        </w:rPr>
      </w:pPr>
      <w:r>
        <w:rPr>
          <w:rFonts w:ascii="宋体" w:hAnsi="宋体" w:cs="宋体" w:hint="eastAsia"/>
          <w:szCs w:val="21"/>
        </w:rPr>
        <w:t xml:space="preserve">   1、本课程班学习期限为</w:t>
      </w:r>
      <w:r w:rsidRPr="00BD566C">
        <w:rPr>
          <w:rFonts w:ascii="宋体" w:hAnsi="宋体" w:cs="宋体" w:hint="eastAsia"/>
          <w:color w:val="FF0000"/>
          <w:szCs w:val="21"/>
        </w:rPr>
        <w:t>两年</w:t>
      </w:r>
      <w:r>
        <w:rPr>
          <w:rFonts w:ascii="宋体" w:hAnsi="宋体" w:cs="宋体" w:hint="eastAsia"/>
          <w:szCs w:val="21"/>
        </w:rPr>
        <w:t>，利用周末时间学习；</w:t>
      </w:r>
    </w:p>
    <w:p w:rsidR="00AB0004" w:rsidRDefault="00443371">
      <w:pPr>
        <w:spacing w:line="380" w:lineRule="exact"/>
        <w:rPr>
          <w:rFonts w:ascii="宋体" w:hAnsi="宋体" w:cs="宋体"/>
          <w:szCs w:val="21"/>
        </w:rPr>
      </w:pPr>
      <w:r>
        <w:rPr>
          <w:rFonts w:ascii="宋体" w:hAnsi="宋体" w:cs="宋体" w:hint="eastAsia"/>
          <w:szCs w:val="21"/>
        </w:rPr>
        <w:lastRenderedPageBreak/>
        <w:t xml:space="preserve">   2、授课教师全部为南开大学具有丰富教学经验和较强实战能力的资深教授；</w:t>
      </w:r>
    </w:p>
    <w:p w:rsidR="00AB0004" w:rsidRDefault="00443371">
      <w:pPr>
        <w:spacing w:line="380" w:lineRule="exact"/>
        <w:rPr>
          <w:rFonts w:ascii="宋体" w:hAnsi="宋体" w:cs="宋体"/>
          <w:szCs w:val="21"/>
        </w:rPr>
      </w:pPr>
      <w:r>
        <w:rPr>
          <w:rFonts w:ascii="宋体" w:hAnsi="宋体" w:cs="宋体" w:hint="eastAsia"/>
          <w:szCs w:val="21"/>
        </w:rPr>
        <w:t xml:space="preserve">   3、授课地点：南开大学</w:t>
      </w:r>
      <w:r w:rsidRPr="00BD566C">
        <w:rPr>
          <w:rFonts w:ascii="宋体" w:hAnsi="宋体" w:cs="宋体" w:hint="eastAsia"/>
          <w:color w:val="FF0000"/>
          <w:szCs w:val="21"/>
        </w:rPr>
        <w:t>济南</w:t>
      </w:r>
      <w:r>
        <w:rPr>
          <w:rFonts w:ascii="宋体" w:hAnsi="宋体" w:cs="宋体" w:hint="eastAsia"/>
          <w:szCs w:val="21"/>
        </w:rPr>
        <w:t>教学中心；</w:t>
      </w:r>
    </w:p>
    <w:p w:rsidR="00AB0004" w:rsidRDefault="00443371">
      <w:pPr>
        <w:spacing w:line="380" w:lineRule="exact"/>
        <w:rPr>
          <w:rFonts w:ascii="宋体" w:hAnsi="宋体" w:cs="宋体"/>
          <w:szCs w:val="21"/>
        </w:rPr>
      </w:pPr>
      <w:r>
        <w:rPr>
          <w:rFonts w:ascii="宋体" w:hAnsi="宋体" w:cs="宋体" w:hint="eastAsia"/>
          <w:szCs w:val="21"/>
        </w:rPr>
        <w:t xml:space="preserve">   </w:t>
      </w:r>
      <w:r w:rsidR="00B4336E">
        <w:rPr>
          <w:rFonts w:ascii="宋体" w:hAnsi="宋体" w:cs="宋体" w:hint="eastAsia"/>
          <w:szCs w:val="21"/>
        </w:rPr>
        <w:t xml:space="preserve"> </w:t>
      </w:r>
    </w:p>
    <w:p w:rsidR="00AB0004" w:rsidRDefault="00AB0004">
      <w:pPr>
        <w:spacing w:line="380" w:lineRule="exact"/>
        <w:rPr>
          <w:rFonts w:ascii="宋体" w:hAnsi="宋体" w:cs="宋体"/>
          <w:szCs w:val="21"/>
        </w:rPr>
      </w:pPr>
    </w:p>
    <w:p w:rsidR="00AB0004" w:rsidRDefault="00443371">
      <w:pPr>
        <w:spacing w:line="380" w:lineRule="exact"/>
        <w:rPr>
          <w:rFonts w:ascii="宋体" w:hAnsi="宋体" w:cs="宋体"/>
          <w:b/>
          <w:bCs/>
          <w:szCs w:val="21"/>
        </w:rPr>
      </w:pPr>
      <w:r>
        <w:rPr>
          <w:rFonts w:ascii="宋体" w:hAnsi="宋体" w:cs="宋体" w:hint="eastAsia"/>
          <w:b/>
          <w:bCs/>
          <w:szCs w:val="21"/>
        </w:rPr>
        <w:t>七、学习费用</w:t>
      </w:r>
    </w:p>
    <w:p w:rsidR="00AB0004" w:rsidRDefault="00443371">
      <w:pPr>
        <w:spacing w:line="380" w:lineRule="exact"/>
        <w:ind w:firstLine="420"/>
        <w:rPr>
          <w:rFonts w:ascii="宋体" w:hAnsi="宋体" w:cs="宋体"/>
          <w:szCs w:val="21"/>
        </w:rPr>
      </w:pPr>
      <w:r>
        <w:rPr>
          <w:rFonts w:ascii="宋体" w:hAnsi="宋体" w:cs="宋体" w:hint="eastAsia"/>
          <w:szCs w:val="21"/>
        </w:rPr>
        <w:t>1、课程班费用</w:t>
      </w:r>
      <w:r w:rsidRPr="00BD566C">
        <w:rPr>
          <w:rFonts w:ascii="宋体" w:hAnsi="宋体" w:cs="宋体" w:hint="eastAsia"/>
          <w:color w:val="FF0000"/>
          <w:szCs w:val="21"/>
        </w:rPr>
        <w:t>26000</w:t>
      </w:r>
      <w:r>
        <w:rPr>
          <w:rFonts w:ascii="宋体" w:hAnsi="宋体" w:cs="宋体" w:hint="eastAsia"/>
          <w:szCs w:val="21"/>
        </w:rPr>
        <w:t>元，不含申请硕士及论文大答辩费；</w:t>
      </w:r>
    </w:p>
    <w:p w:rsidR="00AB0004" w:rsidRDefault="00443371">
      <w:pPr>
        <w:spacing w:line="380" w:lineRule="exact"/>
        <w:ind w:firstLine="420"/>
        <w:rPr>
          <w:rFonts w:ascii="宋体" w:hAnsi="宋体" w:cs="宋体"/>
          <w:szCs w:val="21"/>
        </w:rPr>
      </w:pPr>
      <w:r>
        <w:rPr>
          <w:rFonts w:ascii="宋体" w:hAnsi="宋体" w:cs="宋体" w:hint="eastAsia"/>
          <w:noProof/>
          <w:szCs w:val="21"/>
        </w:rPr>
        <w:drawing>
          <wp:anchor distT="0" distB="0" distL="114300" distR="114300" simplePos="0" relativeHeight="251659264" behindDoc="1" locked="0" layoutInCell="1" allowOverlap="1">
            <wp:simplePos x="0" y="0"/>
            <wp:positionH relativeFrom="column">
              <wp:posOffset>1409700</wp:posOffset>
            </wp:positionH>
            <wp:positionV relativeFrom="paragraph">
              <wp:posOffset>99695</wp:posOffset>
            </wp:positionV>
            <wp:extent cx="2790190" cy="27901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2、课程班学费不含学员参加同等学力课程水平认定考试相关的交通费、食宿费用。</w:t>
      </w:r>
    </w:p>
    <w:p w:rsidR="00AB0004" w:rsidRDefault="00AB0004">
      <w:pPr>
        <w:spacing w:line="380" w:lineRule="exact"/>
        <w:rPr>
          <w:rFonts w:ascii="宋体" w:hAnsi="宋体" w:cs="宋体"/>
          <w:szCs w:val="21"/>
        </w:rPr>
      </w:pPr>
    </w:p>
    <w:p w:rsidR="00AB0004" w:rsidRDefault="00443371">
      <w:pPr>
        <w:spacing w:line="380" w:lineRule="exact"/>
        <w:rPr>
          <w:rFonts w:ascii="宋体" w:hAnsi="宋体" w:cs="宋体"/>
          <w:b/>
          <w:bCs/>
          <w:szCs w:val="21"/>
        </w:rPr>
      </w:pPr>
      <w:r>
        <w:rPr>
          <w:rFonts w:ascii="宋体" w:hAnsi="宋体" w:cs="宋体" w:hint="eastAsia"/>
          <w:b/>
          <w:bCs/>
          <w:szCs w:val="21"/>
        </w:rPr>
        <w:t>八、获取证书</w:t>
      </w:r>
    </w:p>
    <w:p w:rsidR="00AB0004" w:rsidRDefault="00443371">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AB0004" w:rsidRDefault="00443371">
      <w:pPr>
        <w:spacing w:line="380" w:lineRule="exact"/>
        <w:rPr>
          <w:rFonts w:ascii="宋体" w:hAnsi="宋体" w:cs="宋体"/>
          <w:szCs w:val="21"/>
        </w:rPr>
      </w:pP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AB0004" w:rsidRDefault="00AB0004">
      <w:pPr>
        <w:spacing w:line="380" w:lineRule="exact"/>
        <w:rPr>
          <w:rFonts w:ascii="宋体" w:hAnsi="宋体" w:cs="宋体"/>
          <w:szCs w:val="21"/>
        </w:rPr>
      </w:pPr>
    </w:p>
    <w:p w:rsidR="00AB0004" w:rsidRDefault="00443371">
      <w:pPr>
        <w:spacing w:line="380" w:lineRule="exact"/>
        <w:rPr>
          <w:rFonts w:ascii="宋体" w:hAnsi="宋体" w:cs="宋体"/>
          <w:b/>
          <w:bCs/>
          <w:szCs w:val="21"/>
        </w:rPr>
      </w:pPr>
      <w:r>
        <w:rPr>
          <w:rFonts w:ascii="宋体" w:hAnsi="宋体" w:cs="宋体" w:hint="eastAsia"/>
          <w:b/>
          <w:bCs/>
          <w:szCs w:val="21"/>
        </w:rPr>
        <w:t>九、联系方式</w:t>
      </w:r>
    </w:p>
    <w:p w:rsidR="00AB0004" w:rsidRDefault="00BE581F" w:rsidP="00433189">
      <w:pPr>
        <w:spacing w:line="380" w:lineRule="exact"/>
        <w:rPr>
          <w:rFonts w:ascii="宋体" w:hAnsi="宋体" w:cs="宋体"/>
          <w:szCs w:val="21"/>
        </w:rPr>
      </w:pPr>
      <w:r w:rsidRPr="00BE581F">
        <w:rPr>
          <w:rFonts w:ascii="宋体" w:hAnsi="宋体" w:cs="宋体" w:hint="eastAsia"/>
          <w:b/>
          <w:bCs/>
          <w:color w:val="FF0000"/>
          <w:kern w:val="0"/>
          <w:sz w:val="24"/>
        </w:rPr>
        <w:t>王老师 陈老师   电话：010-59480917</w:t>
      </w:r>
    </w:p>
    <w:p w:rsidR="00AB0004" w:rsidRDefault="00AB0004">
      <w:pPr>
        <w:spacing w:line="380" w:lineRule="exact"/>
        <w:ind w:firstLine="420"/>
        <w:rPr>
          <w:rFonts w:ascii="宋体" w:hAnsi="宋体" w:cs="宋体"/>
          <w:szCs w:val="21"/>
        </w:rPr>
      </w:pPr>
    </w:p>
    <w:p w:rsidR="00AB0004" w:rsidRDefault="00AB0004">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hint="eastAsia"/>
          <w:szCs w:val="21"/>
        </w:rPr>
      </w:pPr>
    </w:p>
    <w:p w:rsidR="00BE581F" w:rsidRDefault="00BE581F">
      <w:pPr>
        <w:spacing w:line="380" w:lineRule="exact"/>
        <w:ind w:firstLine="420"/>
        <w:rPr>
          <w:rFonts w:ascii="宋体" w:hAnsi="宋体" w:cs="宋体" w:hint="eastAsia"/>
          <w:szCs w:val="21"/>
        </w:rPr>
      </w:pPr>
    </w:p>
    <w:p w:rsidR="00BE581F" w:rsidRDefault="00BE581F">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p w:rsidR="00DC5343" w:rsidRDefault="00DC5343">
      <w:pPr>
        <w:spacing w:line="380" w:lineRule="exact"/>
        <w:ind w:firstLine="420"/>
        <w:rPr>
          <w:rFonts w:ascii="宋体" w:hAnsi="宋体" w:cs="宋体"/>
          <w:szCs w:val="21"/>
        </w:rPr>
      </w:pPr>
    </w:p>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DC5343" w:rsidTr="00DC5343">
        <w:trPr>
          <w:trHeight w:val="590"/>
        </w:trPr>
        <w:tc>
          <w:tcPr>
            <w:tcW w:w="1041" w:type="dxa"/>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DC5343" w:rsidRDefault="00DC5343"/>
        </w:tc>
        <w:tc>
          <w:tcPr>
            <w:tcW w:w="1181" w:type="dxa"/>
            <w:gridSpan w:val="3"/>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DC5343" w:rsidRDefault="00DC5343"/>
        </w:tc>
        <w:tc>
          <w:tcPr>
            <w:tcW w:w="1111" w:type="dxa"/>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DC5343" w:rsidRDefault="00DC5343"/>
        </w:tc>
        <w:tc>
          <w:tcPr>
            <w:tcW w:w="1693" w:type="dxa"/>
            <w:vMerge w:val="restart"/>
            <w:tcBorders>
              <w:top w:val="single" w:sz="4" w:space="0" w:color="auto"/>
              <w:left w:val="single" w:sz="4" w:space="0" w:color="auto"/>
              <w:bottom w:val="single" w:sz="4" w:space="0" w:color="auto"/>
              <w:right w:val="single" w:sz="4" w:space="0" w:color="auto"/>
            </w:tcBorders>
            <w:hideMark/>
          </w:tcPr>
          <w:p w:rsidR="00DC5343" w:rsidRDefault="00DC5343">
            <w:r>
              <w:t xml:space="preserve">                                       </w:t>
            </w:r>
          </w:p>
        </w:tc>
      </w:tr>
      <w:tr w:rsidR="00DC5343" w:rsidTr="00DC5343">
        <w:trPr>
          <w:trHeight w:val="590"/>
        </w:trPr>
        <w:tc>
          <w:tcPr>
            <w:tcW w:w="1041" w:type="dxa"/>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DC5343" w:rsidRDefault="00DC5343"/>
        </w:tc>
        <w:tc>
          <w:tcPr>
            <w:tcW w:w="1181" w:type="dxa"/>
            <w:gridSpan w:val="3"/>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DC5343" w:rsidRDefault="00DC5343"/>
        </w:tc>
        <w:tc>
          <w:tcPr>
            <w:tcW w:w="1693" w:type="dxa"/>
            <w:vMerge/>
            <w:tcBorders>
              <w:top w:val="single" w:sz="4" w:space="0" w:color="auto"/>
              <w:left w:val="single" w:sz="4" w:space="0" w:color="auto"/>
              <w:bottom w:val="single" w:sz="4" w:space="0" w:color="auto"/>
              <w:right w:val="single" w:sz="4" w:space="0" w:color="auto"/>
            </w:tcBorders>
            <w:vAlign w:val="center"/>
            <w:hideMark/>
          </w:tcPr>
          <w:p w:rsidR="00DC5343" w:rsidRDefault="00DC5343">
            <w:pPr>
              <w:widowControl/>
              <w:jc w:val="left"/>
            </w:pPr>
          </w:p>
        </w:tc>
      </w:tr>
      <w:tr w:rsidR="00DC5343" w:rsidTr="00DC5343">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DC5343" w:rsidRDefault="00DC5343"/>
        </w:tc>
        <w:tc>
          <w:tcPr>
            <w:tcW w:w="1693" w:type="dxa"/>
            <w:vMerge/>
            <w:tcBorders>
              <w:top w:val="single" w:sz="4" w:space="0" w:color="auto"/>
              <w:left w:val="single" w:sz="4" w:space="0" w:color="auto"/>
              <w:bottom w:val="single" w:sz="4" w:space="0" w:color="auto"/>
              <w:right w:val="single" w:sz="4" w:space="0" w:color="auto"/>
            </w:tcBorders>
            <w:vAlign w:val="center"/>
            <w:hideMark/>
          </w:tcPr>
          <w:p w:rsidR="00DC5343" w:rsidRDefault="00DC5343">
            <w:pPr>
              <w:widowControl/>
              <w:jc w:val="left"/>
            </w:pPr>
          </w:p>
        </w:tc>
      </w:tr>
      <w:tr w:rsidR="00DC5343" w:rsidTr="00DC5343">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DC5343" w:rsidRDefault="00DC5343"/>
        </w:tc>
        <w:tc>
          <w:tcPr>
            <w:tcW w:w="1391" w:type="dxa"/>
            <w:gridSpan w:val="3"/>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DC5343" w:rsidRDefault="00DC5343"/>
        </w:tc>
        <w:tc>
          <w:tcPr>
            <w:tcW w:w="1693" w:type="dxa"/>
            <w:vMerge/>
            <w:tcBorders>
              <w:top w:val="single" w:sz="4" w:space="0" w:color="auto"/>
              <w:left w:val="single" w:sz="4" w:space="0" w:color="auto"/>
              <w:bottom w:val="single" w:sz="4" w:space="0" w:color="auto"/>
              <w:right w:val="single" w:sz="4" w:space="0" w:color="auto"/>
            </w:tcBorders>
            <w:vAlign w:val="center"/>
            <w:hideMark/>
          </w:tcPr>
          <w:p w:rsidR="00DC5343" w:rsidRDefault="00DC5343">
            <w:pPr>
              <w:widowControl/>
              <w:jc w:val="left"/>
            </w:pPr>
          </w:p>
        </w:tc>
      </w:tr>
      <w:tr w:rsidR="00DC5343" w:rsidTr="00DC5343">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DC5343" w:rsidRDefault="00DC5343"/>
        </w:tc>
      </w:tr>
      <w:tr w:rsidR="00DC5343" w:rsidTr="00DC5343">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5343" w:rsidRDefault="00DC5343">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DC5343" w:rsidRDefault="00DC5343"/>
        </w:tc>
        <w:tc>
          <w:tcPr>
            <w:tcW w:w="1796" w:type="dxa"/>
            <w:gridSpan w:val="3"/>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DC5343" w:rsidRDefault="00DC5343"/>
        </w:tc>
      </w:tr>
      <w:tr w:rsidR="00DC5343" w:rsidTr="00DC5343">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5343" w:rsidRDefault="00DC5343">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DC5343" w:rsidRDefault="00DC5343"/>
        </w:tc>
        <w:tc>
          <w:tcPr>
            <w:tcW w:w="1796" w:type="dxa"/>
            <w:gridSpan w:val="3"/>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DC5343" w:rsidRDefault="00DC5343"/>
        </w:tc>
      </w:tr>
      <w:tr w:rsidR="00DC5343" w:rsidTr="00DC5343">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DC5343" w:rsidRDefault="00DC5343"/>
        </w:tc>
        <w:tc>
          <w:tcPr>
            <w:tcW w:w="1095"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DC5343" w:rsidRDefault="00DC5343"/>
        </w:tc>
      </w:tr>
      <w:tr w:rsidR="00DC5343" w:rsidTr="00DC5343">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DC5343" w:rsidRDefault="00DC5343"/>
        </w:tc>
        <w:tc>
          <w:tcPr>
            <w:tcW w:w="1185" w:type="dxa"/>
            <w:gridSpan w:val="3"/>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DC5343" w:rsidRDefault="00DC5343"/>
        </w:tc>
        <w:tc>
          <w:tcPr>
            <w:tcW w:w="1095"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DC5343" w:rsidRDefault="00DC5343"/>
        </w:tc>
      </w:tr>
      <w:tr w:rsidR="00DC5343" w:rsidTr="00DC5343">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5343" w:rsidRDefault="00DC5343">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DC5343" w:rsidRDefault="00DC5343"/>
        </w:tc>
      </w:tr>
      <w:tr w:rsidR="00DC5343" w:rsidTr="00DC5343">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DC5343" w:rsidRDefault="00DC5343">
            <w:pPr>
              <w:tabs>
                <w:tab w:val="left" w:pos="2436"/>
              </w:tabs>
            </w:pPr>
            <w:r>
              <w:tab/>
              <w:t xml:space="preserve">       </w:t>
            </w:r>
            <w:r>
              <w:rPr>
                <w:rFonts w:hint="eastAsia"/>
              </w:rPr>
              <w:t>个人工作简历</w:t>
            </w:r>
          </w:p>
        </w:tc>
      </w:tr>
      <w:tr w:rsidR="00DC5343" w:rsidTr="00DC5343">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DC5343" w:rsidRDefault="00DC5343">
            <w:pPr>
              <w:rPr>
                <w:rFonts w:ascii="Times New Roman" w:hAnsi="Times New Roman"/>
                <w:szCs w:val="20"/>
              </w:rPr>
            </w:pPr>
            <w:r>
              <w:rPr>
                <w:rFonts w:hint="eastAsia"/>
              </w:rPr>
              <w:t>报名人承诺：</w:t>
            </w:r>
          </w:p>
          <w:p w:rsidR="00DC5343" w:rsidRDefault="00DC5343">
            <w:pPr>
              <w:ind w:firstLineChars="200" w:firstLine="420"/>
            </w:pPr>
            <w:r>
              <w:rPr>
                <w:rFonts w:hint="eastAsia"/>
              </w:rPr>
              <w:t>我愿意参加经济研究院的研究生课程进修班，并保证中途不退学；一旦退学，所造成损失由我个人承担。</w:t>
            </w:r>
          </w:p>
          <w:p w:rsidR="00DC5343" w:rsidRDefault="00DC5343">
            <w:pPr>
              <w:ind w:firstLineChars="200" w:firstLine="420"/>
            </w:pPr>
          </w:p>
          <w:p w:rsidR="00DC5343" w:rsidRDefault="00DC5343">
            <w:pPr>
              <w:ind w:firstLineChars="200" w:firstLine="420"/>
            </w:pPr>
            <w:r>
              <w:t xml:space="preserve">                                   </w:t>
            </w:r>
            <w:r>
              <w:rPr>
                <w:rFonts w:hint="eastAsia"/>
              </w:rPr>
              <w:t>承诺人签字：</w:t>
            </w:r>
          </w:p>
        </w:tc>
      </w:tr>
    </w:tbl>
    <w:p w:rsidR="00DC5343" w:rsidRDefault="00DC5343" w:rsidP="00DC5343">
      <w:pPr>
        <w:jc w:val="center"/>
        <w:rPr>
          <w:rFonts w:ascii="Times New Roman" w:hAnsi="Times New Roman"/>
          <w:sz w:val="36"/>
          <w:szCs w:val="20"/>
        </w:rPr>
      </w:pPr>
      <w:r>
        <w:rPr>
          <w:rFonts w:hint="eastAsia"/>
          <w:sz w:val="36"/>
        </w:rPr>
        <w:t>经济研究中心研究生课程班学员登记表</w:t>
      </w:r>
    </w:p>
    <w:p w:rsidR="00DC5343" w:rsidRDefault="00DC5343">
      <w:pPr>
        <w:spacing w:line="380" w:lineRule="exact"/>
        <w:ind w:firstLine="420"/>
        <w:rPr>
          <w:rFonts w:ascii="宋体" w:hAnsi="宋体" w:cs="宋体"/>
          <w:szCs w:val="21"/>
        </w:rPr>
      </w:pPr>
    </w:p>
    <w:p w:rsidR="00AB0004" w:rsidRDefault="00AB0004"/>
    <w:sectPr w:rsidR="00AB0004" w:rsidSect="00AB00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EE" w:rsidRDefault="005914EE" w:rsidP="00433189">
      <w:r>
        <w:separator/>
      </w:r>
    </w:p>
  </w:endnote>
  <w:endnote w:type="continuationSeparator" w:id="0">
    <w:p w:rsidR="005914EE" w:rsidRDefault="005914EE" w:rsidP="00433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EE" w:rsidRDefault="005914EE" w:rsidP="00433189">
      <w:r>
        <w:separator/>
      </w:r>
    </w:p>
  </w:footnote>
  <w:footnote w:type="continuationSeparator" w:id="0">
    <w:p w:rsidR="005914EE" w:rsidRDefault="005914EE" w:rsidP="00433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FA3"/>
    <w:rsid w:val="00105AF0"/>
    <w:rsid w:val="001113EE"/>
    <w:rsid w:val="002F642F"/>
    <w:rsid w:val="00316BC1"/>
    <w:rsid w:val="003819F0"/>
    <w:rsid w:val="00420A26"/>
    <w:rsid w:val="00433189"/>
    <w:rsid w:val="00443371"/>
    <w:rsid w:val="004C36F5"/>
    <w:rsid w:val="005914EE"/>
    <w:rsid w:val="007F1A2D"/>
    <w:rsid w:val="00892FA3"/>
    <w:rsid w:val="009D0462"/>
    <w:rsid w:val="00AB0004"/>
    <w:rsid w:val="00B4336E"/>
    <w:rsid w:val="00BD566C"/>
    <w:rsid w:val="00BE581F"/>
    <w:rsid w:val="00C6021D"/>
    <w:rsid w:val="00C9389D"/>
    <w:rsid w:val="00CE5B4D"/>
    <w:rsid w:val="00DC5343"/>
    <w:rsid w:val="00FA77B3"/>
    <w:rsid w:val="00FD20E5"/>
    <w:rsid w:val="79847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0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000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B0004"/>
    <w:pPr>
      <w:pBdr>
        <w:bottom w:val="single" w:sz="6" w:space="1" w:color="auto"/>
      </w:pBdr>
      <w:tabs>
        <w:tab w:val="center" w:pos="4153"/>
        <w:tab w:val="right" w:pos="8306"/>
      </w:tabs>
      <w:snapToGrid w:val="0"/>
      <w:jc w:val="center"/>
    </w:pPr>
    <w:rPr>
      <w:sz w:val="18"/>
      <w:szCs w:val="18"/>
    </w:rPr>
  </w:style>
  <w:style w:type="table" w:styleId="a5">
    <w:name w:val="Table Grid"/>
    <w:basedOn w:val="a1"/>
    <w:rsid w:val="00AB000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AB0004"/>
    <w:rPr>
      <w:rFonts w:ascii="Calibri" w:eastAsia="宋体" w:hAnsi="Calibri" w:cs="Times New Roman"/>
      <w:sz w:val="18"/>
      <w:szCs w:val="18"/>
    </w:rPr>
  </w:style>
  <w:style w:type="character" w:customStyle="1" w:styleId="Char">
    <w:name w:val="页脚 Char"/>
    <w:basedOn w:val="a0"/>
    <w:link w:val="a3"/>
    <w:uiPriority w:val="99"/>
    <w:qFormat/>
    <w:rsid w:val="00AB000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8298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10</cp:revision>
  <dcterms:created xsi:type="dcterms:W3CDTF">2017-06-23T05:39:00Z</dcterms:created>
  <dcterms:modified xsi:type="dcterms:W3CDTF">2017-07-10T01:53:00Z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