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1E" w:rsidRDefault="00653778">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A6641E" w:rsidRDefault="00653778">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中国人民大学技术经济及管理专业采购与供应链管理方向</w:t>
      </w:r>
    </w:p>
    <w:p w:rsidR="00A6641E" w:rsidRDefault="00653778">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招生简章郑州班</w:t>
      </w:r>
    </w:p>
    <w:p w:rsidR="00A6641E" w:rsidRDefault="00A6641E">
      <w:pPr>
        <w:spacing w:line="380" w:lineRule="atLeast"/>
        <w:jc w:val="center"/>
        <w:rPr>
          <w:rFonts w:asciiTheme="minorEastAsia" w:eastAsiaTheme="minorEastAsia" w:hAnsiTheme="minorEastAsia" w:cstheme="minorEastAsia"/>
          <w:b/>
          <w:bCs/>
          <w:szCs w:val="21"/>
        </w:rPr>
      </w:pPr>
    </w:p>
    <w:p w:rsidR="00A6641E" w:rsidRDefault="00653778">
      <w:pPr>
        <w:tabs>
          <w:tab w:val="left" w:pos="52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A6641E" w:rsidRDefault="00A6641E">
      <w:pPr>
        <w:spacing w:line="380" w:lineRule="atLeast"/>
        <w:jc w:val="left"/>
        <w:rPr>
          <w:rFonts w:asciiTheme="minorEastAsia" w:eastAsiaTheme="minorEastAsia" w:hAnsiTheme="minorEastAsia" w:cstheme="minorEastAsia"/>
          <w:b/>
          <w:bCs/>
          <w:szCs w:val="21"/>
        </w:rPr>
      </w:pPr>
    </w:p>
    <w:p w:rsidR="00A6641E" w:rsidRDefault="00653778">
      <w:pPr>
        <w:numPr>
          <w:ilvl w:val="0"/>
          <w:numId w:val="1"/>
        </w:numPr>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A6641E" w:rsidRDefault="00653778">
      <w:pPr>
        <w:spacing w:line="380" w:lineRule="atLeas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19050" t="0" r="9525" b="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为了培养更多采购与供应管理的管理人才，中国人民大学特在郑州设立在职研修班，为郑州及周边学员提供与本部一致的采购与供应管理方向教务教学内容。</w:t>
      </w:r>
    </w:p>
    <w:p w:rsidR="00A6641E" w:rsidRDefault="00A6641E">
      <w:pPr>
        <w:spacing w:line="380" w:lineRule="atLeast"/>
        <w:jc w:val="left"/>
        <w:rPr>
          <w:rFonts w:asciiTheme="minorEastAsia" w:eastAsiaTheme="minorEastAsia" w:hAnsiTheme="minorEastAsia" w:cstheme="minorEastAsia"/>
          <w:b/>
          <w:bCs/>
          <w:szCs w:val="21"/>
        </w:rPr>
      </w:pPr>
    </w:p>
    <w:p w:rsidR="00A6641E" w:rsidRDefault="00653778">
      <w:pPr>
        <w:spacing w:line="380" w:lineRule="atLeas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A6641E" w:rsidRDefault="00653778">
      <w:pPr>
        <w:spacing w:line="3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color w:val="222222"/>
          <w:szCs w:val="21"/>
        </w:rPr>
        <w:t>1、培养掌握</w:t>
      </w:r>
      <w:hyperlink r:id="rId9" w:tgtFrame="http://baike.baidu.com/item/%E9%87%87%E8%B4%AD%E4%B8%8E%E4%BE%9B%E5%BA%94%E7%AE%A1%E7%90%86%E4%B8%93%E4%B8%9A/_blank" w:history="1">
        <w:r>
          <w:rPr>
            <w:rFonts w:asciiTheme="minorEastAsia" w:eastAsiaTheme="minorEastAsia" w:hAnsiTheme="minorEastAsia" w:cstheme="minorEastAsia" w:hint="eastAsia"/>
            <w:color w:val="222222"/>
            <w:szCs w:val="21"/>
          </w:rPr>
          <w:t>现代采购</w:t>
        </w:r>
      </w:hyperlink>
      <w:r>
        <w:rPr>
          <w:rFonts w:asciiTheme="minorEastAsia" w:eastAsiaTheme="minorEastAsia" w:hAnsiTheme="minorEastAsia" w:cstheme="minorEastAsia" w:hint="eastAsia"/>
          <w:color w:val="222222"/>
          <w:szCs w:val="21"/>
        </w:rPr>
        <w:t>与供应理论，熟悉跨国</w:t>
      </w:r>
      <w:hyperlink r:id="rId10" w:tgtFrame="http://baike.baidu.com/item/%E9%87%87%E8%B4%AD%E4%B8%8E%E4%BE%9B%E5%BA%94%E7%AE%A1%E7%90%86%E4%B8%93%E4%B8%9A/_blank" w:history="1">
        <w:r>
          <w:rPr>
            <w:rFonts w:asciiTheme="minorEastAsia" w:eastAsiaTheme="minorEastAsia" w:hAnsiTheme="minorEastAsia" w:cstheme="minorEastAsia" w:hint="eastAsia"/>
            <w:color w:val="222222"/>
            <w:szCs w:val="21"/>
          </w:rPr>
          <w:t>采购与供应实务</w:t>
        </w:r>
      </w:hyperlink>
      <w:r>
        <w:rPr>
          <w:rFonts w:asciiTheme="minorEastAsia" w:eastAsiaTheme="minorEastAsia" w:hAnsiTheme="minorEastAsia" w:cstheme="minorEastAsia" w:hint="eastAsia"/>
          <w:color w:val="222222"/>
          <w:szCs w:val="21"/>
        </w:rPr>
        <w:t>，具有较强的市场分析处理能力，现代企业采购与供应管理能力，系统掌握经济、法律以及相关知识，具有参与国内国际市场竞争能力的新型人才；</w:t>
      </w:r>
    </w:p>
    <w:p w:rsidR="00A6641E" w:rsidRDefault="00653778">
      <w:pPr>
        <w:spacing w:line="3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2、学员可从事中型以上独资、合资、国有、民营企业或政府部门、事业单位采购与供应岗位等工作。</w:t>
      </w:r>
    </w:p>
    <w:p w:rsidR="00A6641E" w:rsidRDefault="00A6641E">
      <w:pPr>
        <w:spacing w:line="380" w:lineRule="exact"/>
        <w:ind w:firstLineChars="200" w:firstLine="420"/>
        <w:rPr>
          <w:rFonts w:asciiTheme="minorEastAsia" w:eastAsiaTheme="minorEastAsia" w:hAnsiTheme="minorEastAsia" w:cstheme="minorEastAsia"/>
          <w:szCs w:val="21"/>
        </w:rPr>
      </w:pPr>
    </w:p>
    <w:p w:rsidR="00A6641E" w:rsidRDefault="00653778">
      <w:pPr>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w:t>
      </w:r>
      <w:r>
        <w:rPr>
          <w:rFonts w:asciiTheme="minorEastAsia" w:eastAsiaTheme="minorEastAsia" w:hAnsiTheme="minorEastAsia" w:cstheme="minorEastAsia" w:hint="eastAsia"/>
          <w:color w:val="222222"/>
          <w:szCs w:val="21"/>
        </w:rPr>
        <w:lastRenderedPageBreak/>
        <w:t>校友，获高端人脉资源；</w:t>
      </w:r>
      <w:bookmarkStart w:id="0" w:name="_GoBack"/>
      <w:bookmarkEnd w:id="0"/>
    </w:p>
    <w:p w:rsidR="00A6641E" w:rsidRDefault="00653778">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5、采用教师授课、案例教学、课堂讨论等多种教学方式。由教授、副教授担任硕士毕业论文导师，指导学员的论文写作，提升学员的能力水平。</w:t>
      </w:r>
    </w:p>
    <w:p w:rsidR="00A6641E" w:rsidRDefault="00A6641E">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A6641E" w:rsidRDefault="00653778">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b/>
          <w:bCs/>
          <w:shd w:val="clear" w:color="auto" w:fill="FFFFFF"/>
        </w:rPr>
        <w:t>专业方向及课程设置</w:t>
      </w:r>
    </w:p>
    <w:p w:rsidR="00A6641E" w:rsidRDefault="00653778">
      <w:pPr>
        <w:pStyle w:val="a3"/>
        <w:widowControl/>
        <w:shd w:val="clear" w:color="auto" w:fill="FFFFFF"/>
        <w:spacing w:before="0" w:beforeAutospacing="0" w:after="0" w:afterAutospacing="0" w:line="380" w:lineRule="atLeast"/>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bCs/>
          <w:noProof/>
          <w:shd w:val="clear" w:color="auto" w:fill="FFFFFF"/>
        </w:rPr>
        <w:drawing>
          <wp:anchor distT="0" distB="0" distL="114300" distR="114300" simplePos="0" relativeHeight="251671552" behindDoc="1" locked="0" layoutInCell="1" allowOverlap="1">
            <wp:simplePos x="0" y="0"/>
            <wp:positionH relativeFrom="margin">
              <wp:posOffset>1010285</wp:posOffset>
            </wp:positionH>
            <wp:positionV relativeFrom="paragraph">
              <wp:posOffset>191770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A6641E">
        <w:trPr>
          <w:trHeight w:val="519"/>
          <w:jc w:val="center"/>
        </w:trPr>
        <w:tc>
          <w:tcPr>
            <w:tcW w:w="9143" w:type="dxa"/>
            <w:gridSpan w:val="5"/>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采购与供应链管理方向课程设置</w:t>
            </w:r>
          </w:p>
        </w:tc>
      </w:tr>
      <w:tr w:rsidR="00A6641E">
        <w:trPr>
          <w:trHeight w:val="464"/>
          <w:jc w:val="center"/>
        </w:trPr>
        <w:tc>
          <w:tcPr>
            <w:tcW w:w="1844" w:type="dxa"/>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A6641E">
        <w:trPr>
          <w:trHeight w:val="613"/>
          <w:jc w:val="center"/>
        </w:trPr>
        <w:tc>
          <w:tcPr>
            <w:tcW w:w="1844" w:type="dxa"/>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A6641E">
        <w:trPr>
          <w:trHeight w:val="563"/>
          <w:jc w:val="center"/>
        </w:trPr>
        <w:tc>
          <w:tcPr>
            <w:tcW w:w="1844" w:type="dxa"/>
            <w:vMerge w:val="restart"/>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A6641E">
        <w:trPr>
          <w:trHeight w:val="445"/>
          <w:jc w:val="center"/>
        </w:trPr>
        <w:tc>
          <w:tcPr>
            <w:tcW w:w="1844" w:type="dxa"/>
            <w:vMerge/>
            <w:vAlign w:val="center"/>
          </w:tcPr>
          <w:p w:rsidR="00A6641E" w:rsidRDefault="00A6641E">
            <w:pPr>
              <w:jc w:val="center"/>
              <w:rPr>
                <w:rFonts w:asciiTheme="minorEastAsia" w:eastAsiaTheme="minorEastAsia" w:hAnsiTheme="minorEastAsia" w:cstheme="minorEastAsia"/>
                <w:b/>
                <w:bCs/>
                <w:sz w:val="24"/>
              </w:rPr>
            </w:pP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A6641E">
        <w:trPr>
          <w:trHeight w:val="445"/>
          <w:jc w:val="center"/>
        </w:trPr>
        <w:tc>
          <w:tcPr>
            <w:tcW w:w="1844" w:type="dxa"/>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A6641E">
        <w:trPr>
          <w:trHeight w:val="562"/>
          <w:jc w:val="center"/>
        </w:trPr>
        <w:tc>
          <w:tcPr>
            <w:tcW w:w="1844" w:type="dxa"/>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供应链风险管理</w:t>
            </w:r>
          </w:p>
        </w:tc>
      </w:tr>
      <w:tr w:rsidR="00A6641E">
        <w:trPr>
          <w:trHeight w:val="464"/>
          <w:jc w:val="center"/>
        </w:trPr>
        <w:tc>
          <w:tcPr>
            <w:tcW w:w="1844" w:type="dxa"/>
            <w:vAlign w:val="center"/>
          </w:tcPr>
          <w:p w:rsidR="00A6641E" w:rsidRDefault="0065377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A6641E" w:rsidRDefault="0065377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A6641E" w:rsidRDefault="00A6641E">
      <w:pPr>
        <w:rPr>
          <w:rFonts w:asciiTheme="minorEastAsia" w:eastAsiaTheme="minorEastAsia" w:hAnsiTheme="minorEastAsia" w:cstheme="minorEastAsia"/>
          <w:szCs w:val="21"/>
        </w:rPr>
      </w:pPr>
    </w:p>
    <w:p w:rsidR="00A6641E" w:rsidRDefault="00653778">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A6641E" w:rsidRDefault="00A6641E">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p>
    <w:p w:rsidR="00A6641E" w:rsidRDefault="00653778">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A6641E" w:rsidRDefault="00653778">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A6641E" w:rsidRDefault="00653778">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A6641E" w:rsidRDefault="00653778">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A6641E" w:rsidRDefault="00653778">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AF78CC" w:rsidRPr="00C57B42" w:rsidRDefault="00653778">
      <w:pPr>
        <w:tabs>
          <w:tab w:val="left" w:pos="5715"/>
        </w:tabs>
        <w:spacing w:line="380" w:lineRule="atLeast"/>
        <w:ind w:firstLine="420"/>
        <w:rPr>
          <w:rFonts w:asciiTheme="minorEastAsia" w:eastAsiaTheme="minorEastAsia" w:hAnsiTheme="minorEastAsia" w:cstheme="minorEastAsia"/>
          <w:color w:val="FF0000"/>
          <w:szCs w:val="21"/>
        </w:rPr>
      </w:pPr>
      <w:r w:rsidRPr="00C57B42">
        <w:rPr>
          <w:rFonts w:asciiTheme="minorEastAsia" w:eastAsiaTheme="minorEastAsia" w:hAnsiTheme="minorEastAsia" w:cstheme="minorEastAsia" w:hint="eastAsia"/>
          <w:color w:val="FF0000"/>
          <w:szCs w:val="21"/>
        </w:rPr>
        <w:t>5、上课地址：中国人民大学郑州教学中心</w:t>
      </w:r>
    </w:p>
    <w:p w:rsidR="00A6641E" w:rsidRDefault="00A6641E">
      <w:pPr>
        <w:tabs>
          <w:tab w:val="left" w:pos="5715"/>
        </w:tabs>
        <w:spacing w:line="380" w:lineRule="atLeast"/>
        <w:ind w:firstLine="420"/>
        <w:rPr>
          <w:rFonts w:asciiTheme="minorEastAsia" w:eastAsiaTheme="minorEastAsia" w:hAnsiTheme="minorEastAsia" w:cstheme="minorEastAsia"/>
          <w:color w:val="FF0000"/>
          <w:szCs w:val="21"/>
        </w:rPr>
      </w:pPr>
    </w:p>
    <w:p w:rsidR="005C75F9" w:rsidRDefault="005C75F9">
      <w:pPr>
        <w:tabs>
          <w:tab w:val="left" w:pos="5715"/>
        </w:tabs>
        <w:spacing w:line="380" w:lineRule="atLeast"/>
        <w:ind w:firstLine="420"/>
        <w:rPr>
          <w:rFonts w:asciiTheme="minorEastAsia" w:eastAsiaTheme="minorEastAsia" w:hAnsiTheme="minorEastAsia" w:cstheme="minorEastAsia"/>
          <w:color w:val="222222"/>
          <w:szCs w:val="21"/>
        </w:rPr>
      </w:pPr>
    </w:p>
    <w:p w:rsidR="00A6641E" w:rsidRDefault="00653778">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A6641E" w:rsidRDefault="00653778">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C57B42">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A6641E" w:rsidRDefault="00653778">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C57B42">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元;根据个人情况，可选择以下方式缴费：</w:t>
      </w:r>
    </w:p>
    <w:p w:rsidR="00A6641E" w:rsidRDefault="00A6641E">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A6641E">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6641E" w:rsidRDefault="00653778">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6641E" w:rsidRDefault="00653778">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A6641E">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6641E" w:rsidRDefault="00653778">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6641E" w:rsidRDefault="00653778">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A6641E" w:rsidRDefault="00653778">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7456" behindDoc="1" locked="0" layoutInCell="1" allowOverlap="1">
            <wp:simplePos x="0" y="0"/>
            <wp:positionH relativeFrom="margin">
              <wp:posOffset>1152525</wp:posOffset>
            </wp:positionH>
            <wp:positionV relativeFrom="paragraph">
              <wp:posOffset>19050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ab/>
      </w:r>
    </w:p>
    <w:p w:rsidR="00A6641E" w:rsidRDefault="00653778">
      <w:pPr>
        <w:tabs>
          <w:tab w:val="left" w:pos="5505"/>
        </w:tabs>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A6641E" w:rsidRDefault="00653778">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A6641E" w:rsidRDefault="00653778">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A6641E" w:rsidRDefault="00A6641E">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A6641E" w:rsidRDefault="00653778">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653778" w:rsidRDefault="00F2085B">
      <w:pPr>
        <w:spacing w:line="380" w:lineRule="atLeast"/>
        <w:ind w:firstLineChars="200" w:firstLine="420"/>
        <w:rPr>
          <w:rFonts w:ascii="宋体" w:hAnsi="宋体" w:cs="宋体" w:hint="eastAsia"/>
          <w:color w:val="FF0000"/>
          <w:szCs w:val="21"/>
        </w:rPr>
      </w:pPr>
      <w:r w:rsidRPr="00F2085B">
        <w:rPr>
          <w:rFonts w:ascii="宋体" w:hAnsi="宋体" w:cs="宋体" w:hint="eastAsia"/>
          <w:color w:val="FF0000"/>
          <w:szCs w:val="21"/>
        </w:rPr>
        <w:t>王老师 陈老师   电话：010-59480917</w:t>
      </w:r>
    </w:p>
    <w:p w:rsidR="00F2085B" w:rsidRDefault="00F2085B">
      <w:pPr>
        <w:spacing w:line="380" w:lineRule="atLeast"/>
        <w:ind w:firstLineChars="200" w:firstLine="420"/>
        <w:rPr>
          <w:rFonts w:ascii="宋体" w:hAnsi="宋体" w:cs="宋体" w:hint="eastAsia"/>
          <w:color w:val="FF0000"/>
          <w:szCs w:val="21"/>
        </w:rPr>
      </w:pPr>
    </w:p>
    <w:p w:rsidR="00F2085B" w:rsidRDefault="00F2085B">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pPr>
        <w:spacing w:line="380" w:lineRule="atLeast"/>
        <w:ind w:firstLineChars="200" w:firstLine="420"/>
        <w:rPr>
          <w:rFonts w:asciiTheme="minorEastAsia" w:eastAsiaTheme="minorEastAsia" w:hAnsiTheme="minorEastAsia" w:cstheme="minorEastAsia"/>
          <w:szCs w:val="21"/>
        </w:rPr>
      </w:pPr>
    </w:p>
    <w:p w:rsidR="00653778" w:rsidRDefault="00653778" w:rsidP="00653778">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653778" w:rsidRDefault="00653778" w:rsidP="00653778">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653778" w:rsidTr="00653778">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653778" w:rsidRDefault="00653778">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653778" w:rsidRDefault="00653778">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r>
      <w:tr w:rsidR="00653778" w:rsidTr="00653778">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653778" w:rsidRDefault="00653778">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r>
      <w:tr w:rsidR="00653778" w:rsidTr="00653778">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653778" w:rsidRDefault="00653778">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r>
      <w:tr w:rsidR="00653778" w:rsidTr="00653778">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653778" w:rsidRDefault="00653778">
            <w:pPr>
              <w:jc w:val="center"/>
              <w:rPr>
                <w:rFonts w:eastAsia="黑体"/>
                <w:sz w:val="28"/>
                <w:szCs w:val="28"/>
              </w:rPr>
            </w:pPr>
          </w:p>
        </w:tc>
      </w:tr>
      <w:tr w:rsidR="00653778" w:rsidTr="00653778">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653778" w:rsidRDefault="00653778">
            <w:pPr>
              <w:rPr>
                <w:rFonts w:eastAsia="黑体"/>
                <w:sz w:val="28"/>
                <w:szCs w:val="28"/>
              </w:rPr>
            </w:pPr>
          </w:p>
        </w:tc>
      </w:tr>
      <w:tr w:rsidR="00653778" w:rsidTr="00653778">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53778" w:rsidRDefault="00653778">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653778" w:rsidRDefault="00653778">
            <w:pPr>
              <w:rPr>
                <w:rFonts w:eastAsia="黑体"/>
                <w:sz w:val="28"/>
                <w:szCs w:val="28"/>
              </w:rPr>
            </w:pPr>
          </w:p>
        </w:tc>
      </w:tr>
      <w:tr w:rsidR="00653778" w:rsidTr="00653778">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53778" w:rsidRDefault="00653778">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653778" w:rsidRDefault="00653778">
            <w:pPr>
              <w:rPr>
                <w:rFonts w:eastAsia="黑体"/>
                <w:sz w:val="28"/>
                <w:szCs w:val="28"/>
              </w:rPr>
            </w:pPr>
          </w:p>
        </w:tc>
      </w:tr>
      <w:tr w:rsidR="00653778" w:rsidTr="00653778">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53778" w:rsidRDefault="00653778">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653778" w:rsidRDefault="00653778">
            <w:pPr>
              <w:rPr>
                <w:rFonts w:eastAsia="黑体"/>
                <w:sz w:val="28"/>
                <w:szCs w:val="28"/>
              </w:rPr>
            </w:pPr>
          </w:p>
        </w:tc>
      </w:tr>
      <w:tr w:rsidR="00653778" w:rsidTr="00653778">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653778" w:rsidRDefault="00653778">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653778" w:rsidRDefault="00653778">
            <w:pPr>
              <w:rPr>
                <w:rFonts w:eastAsia="黑体"/>
                <w:sz w:val="28"/>
                <w:szCs w:val="28"/>
              </w:rPr>
            </w:pPr>
          </w:p>
        </w:tc>
      </w:tr>
      <w:tr w:rsidR="00653778" w:rsidTr="00653778">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653778" w:rsidTr="00653778">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653778" w:rsidRDefault="00653778">
            <w:pPr>
              <w:jc w:val="center"/>
              <w:rPr>
                <w:rFonts w:ascii="华文仿宋" w:eastAsia="华文仿宋" w:hAnsi="华文仿宋"/>
                <w:sz w:val="28"/>
                <w:szCs w:val="28"/>
              </w:rPr>
            </w:pPr>
          </w:p>
        </w:tc>
      </w:tr>
      <w:tr w:rsidR="00653778" w:rsidTr="00653778">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653778" w:rsidRDefault="00653778">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653778" w:rsidRDefault="00653778">
            <w:pPr>
              <w:jc w:val="center"/>
              <w:rPr>
                <w:rFonts w:ascii="华文仿宋" w:eastAsia="华文仿宋" w:hAnsi="华文仿宋"/>
                <w:sz w:val="28"/>
                <w:szCs w:val="28"/>
              </w:rPr>
            </w:pPr>
          </w:p>
        </w:tc>
      </w:tr>
    </w:tbl>
    <w:p w:rsidR="00653778" w:rsidRDefault="00653778" w:rsidP="00653778">
      <w:pPr>
        <w:jc w:val="center"/>
        <w:rPr>
          <w:rFonts w:ascii="华文仿宋" w:eastAsia="华文仿宋" w:hAnsi="华文仿宋"/>
          <w:sz w:val="24"/>
        </w:rPr>
      </w:pPr>
    </w:p>
    <w:p w:rsidR="00653778" w:rsidRDefault="00653778">
      <w:pPr>
        <w:spacing w:line="380" w:lineRule="atLeast"/>
        <w:ind w:firstLineChars="200" w:firstLine="420"/>
      </w:pPr>
    </w:p>
    <w:sectPr w:rsidR="00653778" w:rsidSect="00A664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BC646C"/>
    <w:rsid w:val="00035FB7"/>
    <w:rsid w:val="00036C52"/>
    <w:rsid w:val="00092E63"/>
    <w:rsid w:val="0026614A"/>
    <w:rsid w:val="005C75F9"/>
    <w:rsid w:val="00653778"/>
    <w:rsid w:val="006812A6"/>
    <w:rsid w:val="006B6DE5"/>
    <w:rsid w:val="00A6641E"/>
    <w:rsid w:val="00AB3A8E"/>
    <w:rsid w:val="00AF78CC"/>
    <w:rsid w:val="00BA4F97"/>
    <w:rsid w:val="00C57B42"/>
    <w:rsid w:val="00F2085B"/>
    <w:rsid w:val="07213643"/>
    <w:rsid w:val="07CC4D1A"/>
    <w:rsid w:val="1DBC646C"/>
    <w:rsid w:val="3249210E"/>
    <w:rsid w:val="4301429F"/>
    <w:rsid w:val="47FC7136"/>
    <w:rsid w:val="523C5DFD"/>
    <w:rsid w:val="54AF102F"/>
    <w:rsid w:val="5F667BAD"/>
    <w:rsid w:val="60710FCA"/>
    <w:rsid w:val="78B96424"/>
    <w:rsid w:val="7CBC51C0"/>
    <w:rsid w:val="7DCB3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41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6641E"/>
    <w:pPr>
      <w:spacing w:before="100" w:beforeAutospacing="1" w:after="100" w:afterAutospacing="1"/>
      <w:jc w:val="left"/>
    </w:pPr>
    <w:rPr>
      <w:kern w:val="0"/>
      <w:sz w:val="24"/>
    </w:rPr>
  </w:style>
  <w:style w:type="character" w:styleId="a4">
    <w:name w:val="Hyperlink"/>
    <w:basedOn w:val="a0"/>
    <w:qFormat/>
    <w:rsid w:val="00A6641E"/>
    <w:rPr>
      <w:color w:val="0000FF"/>
      <w:u w:val="single"/>
    </w:rPr>
  </w:style>
  <w:style w:type="paragraph" w:styleId="a5">
    <w:name w:val="Balloon Text"/>
    <w:basedOn w:val="a"/>
    <w:link w:val="Char"/>
    <w:rsid w:val="00653778"/>
    <w:rPr>
      <w:sz w:val="18"/>
      <w:szCs w:val="18"/>
    </w:rPr>
  </w:style>
  <w:style w:type="character" w:customStyle="1" w:styleId="Char">
    <w:name w:val="批注框文本 Char"/>
    <w:basedOn w:val="a0"/>
    <w:link w:val="a5"/>
    <w:rsid w:val="0065377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919289402">
      <w:bodyDiv w:val="1"/>
      <w:marLeft w:val="0"/>
      <w:marRight w:val="0"/>
      <w:marTop w:val="0"/>
      <w:marBottom w:val="0"/>
      <w:divBdr>
        <w:top w:val="none" w:sz="0" w:space="0" w:color="auto"/>
        <w:left w:val="none" w:sz="0" w:space="0" w:color="auto"/>
        <w:bottom w:val="none" w:sz="0" w:space="0" w:color="auto"/>
        <w:right w:val="none" w:sz="0" w:space="0" w:color="auto"/>
      </w:divBdr>
    </w:div>
    <w:div w:id="1039280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baike.baidu.com/item/%E9%87%87%E8%B4%AD%E4%B8%8E%E4%BE%9B%E5%BA%94%E5%AE%9E%E5%8A%A1" TargetMode="External"/><Relationship Id="rId4" Type="http://schemas.openxmlformats.org/officeDocument/2006/relationships/settings" Target="settings.xml"/><Relationship Id="rId9" Type="http://schemas.openxmlformats.org/officeDocument/2006/relationships/hyperlink" Target="http://baike.baidu.com/item/%E7%8E%B0%E4%BB%A3%E9%87%87%E8%B4%AD/127447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2017-07-10T09:57:00Z</dcterms:created>
  <dcterms:modified xsi:type="dcterms:W3CDTF">2017-07-21T07:52:00Z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