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F7" w:rsidRDefault="007D1EF7">
      <w:pPr>
        <w:spacing w:line="380" w:lineRule="exact"/>
        <w:rPr>
          <w:rFonts w:asciiTheme="minorEastAsia" w:hAnsiTheme="minorEastAsia" w:cstheme="minorEastAsia"/>
          <w:b/>
          <w:bCs/>
          <w:sz w:val="24"/>
        </w:rPr>
      </w:pPr>
    </w:p>
    <w:p w:rsidR="007D1EF7" w:rsidRDefault="009C1FEA">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对外经济贸易大学外国语言学及应用语言学专业</w:t>
      </w:r>
    </w:p>
    <w:p w:rsidR="007D1EF7" w:rsidRDefault="009C1FEA">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经贸翻译方向在职高级研修班招生简章成都班</w:t>
      </w:r>
    </w:p>
    <w:p w:rsidR="007D1EF7" w:rsidRDefault="007D1EF7">
      <w:pPr>
        <w:spacing w:line="380" w:lineRule="exact"/>
        <w:rPr>
          <w:rFonts w:asciiTheme="minorEastAsia" w:hAnsiTheme="minorEastAsia" w:cstheme="minorEastAsia"/>
          <w:sz w:val="24"/>
        </w:rPr>
      </w:pPr>
    </w:p>
    <w:p w:rsidR="007D1EF7" w:rsidRDefault="009C1FEA" w:rsidP="00FF7A67">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对外经济贸易大学是教育部直属的全国重点大学，国家“211工程”首批重点建设高校。对外经济贸易大学从1951年建校以来已经发展成为一所拥有经、管、法、文、理、工等门类，以外语（商务外语）、国际经济与贸易、金融学、工商管理、法学（国际经济法）、等优势专业为学科特色的多科性财经外语类大学。</w:t>
      </w: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一、专业简述</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对外经济贸易大学英语学院英语学科是全校最重要和最有影响的学科之一。1981年经国务院批准，英语学院获得首批硕士学位授予权，同时也是国内少数几个同时具备翻译专业和翻译专业硕士学位(MTI)授予权的高校。</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经贸翻译注重内贸与外贸相结合、营销与管理相结合，以内贸、营销为主，重视学生综合能力的培养。本专业学生主要学习</w:t>
      </w:r>
      <w:hyperlink r:id="rId6" w:tgtFrame="https://baike.so.com/doc/_blank" w:history="1">
        <w:r>
          <w:rPr>
            <w:rFonts w:asciiTheme="minorEastAsia" w:hAnsiTheme="minorEastAsia" w:cstheme="minorEastAsia" w:hint="eastAsia"/>
            <w:sz w:val="24"/>
          </w:rPr>
          <w:t>马克思主义</w:t>
        </w:r>
      </w:hyperlink>
      <w:r>
        <w:rPr>
          <w:rFonts w:asciiTheme="minorEastAsia" w:hAnsiTheme="minorEastAsia" w:cstheme="minorEastAsia" w:hint="eastAsia"/>
          <w:sz w:val="24"/>
        </w:rPr>
        <w:t>经济学和国际经济、国际贸易的基本理论基础知识，受到经济学、管理学的基本训练，具有理论分析和实务操作的基本能力。</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英语学院英语学科一直致力于培养高素质、国际化的复合型人才，在外交部、商务部、驻外使领馆、联合国等国家重要部门、国际组织和金融机构以及国有、合资等各大企业中担任重要职务。为适应国内及国际英语人才需求，根据国务院学位办有关规定，对外经济贸易大学英语学院决定在成都地区举办外国语言学及应用语言学专业经贸翻译方向在职高级研修班，为社会各界精英提供了学习深造的机会。</w:t>
      </w: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7D1EF7" w:rsidRDefault="009C1FEA">
      <w:pPr>
        <w:spacing w:line="380" w:lineRule="exact"/>
        <w:rPr>
          <w:rFonts w:asciiTheme="minorEastAsia" w:hAnsiTheme="minorEastAsia" w:cstheme="minorEastAsia"/>
          <w:sz w:val="24"/>
        </w:rPr>
      </w:pPr>
      <w:r>
        <w:rPr>
          <w:rFonts w:asciiTheme="minorEastAsia" w:hAnsiTheme="minorEastAsia" w:cstheme="minorEastAsia" w:hint="eastAsia"/>
          <w:sz w:val="24"/>
        </w:rPr>
        <w:t xml:space="preserve">    本课程班旨在培养学员英语语言能力、系统掌握翻译理论、法律法规、文学、科技翻译实用技能，使之基本达到全国翻译资格考试二、三级水平，成为高级外语、翻译、商务复合型人才。</w:t>
      </w:r>
    </w:p>
    <w:p w:rsidR="007D1EF7" w:rsidRDefault="007D1EF7">
      <w:pPr>
        <w:spacing w:line="380" w:lineRule="exact"/>
        <w:rPr>
          <w:rFonts w:asciiTheme="minorEastAsia" w:hAnsiTheme="minorEastAsia" w:cstheme="minorEastAsia"/>
          <w:sz w:val="24"/>
        </w:rPr>
      </w:pP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【影响力深】学院建院60多年来，一直致力于培养高素质、国际化的复合型人才，在外交部、商务部、驻外使领馆、联合国等国家重要部门、国际组织和金融机构等各大企业中担任重要职务；</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【通过率高】英语学院以其优质的教学团队与独特的教学理念，在实际教学中环扣历年申硕考试重点为学员进行梳理，使得本专业申硕通过率高于全国本专业平均水平近15%；</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【师资雄厚】研修班授课师资按照全日制研究生师资进行匹配，享受优质师资资源，60%老师具有海外留学经历，在授课方式上打破传统国内教学模式而采用理论与实践双结合的实战课堂教学方式深受欢迎；</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【专家客座】学院每年定期邀请国际资深培训教师来中心协助教学工作。同时，还聘请了商务部、外交部口译专家和国内外知名职业译员担任客座教授；</w:t>
      </w:r>
    </w:p>
    <w:p w:rsidR="007D1EF7" w:rsidRDefault="009C1FEA" w:rsidP="00FF7A67">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【校友网络】英语学院通过组织系列活动打造校友终身交流和学习平台，在学习的同时加深学员间彼此了解，增加行业间合作机会。</w:t>
      </w:r>
    </w:p>
    <w:p w:rsidR="007D1EF7" w:rsidRDefault="009C1FEA">
      <w:pPr>
        <w:numPr>
          <w:ilvl w:val="0"/>
          <w:numId w:val="1"/>
        </w:numPr>
        <w:spacing w:line="380" w:lineRule="exact"/>
        <w:rPr>
          <w:rFonts w:asciiTheme="minorEastAsia" w:hAnsiTheme="minorEastAsia" w:cstheme="minorEastAsia"/>
          <w:b/>
          <w:bCs/>
          <w:sz w:val="24"/>
        </w:rPr>
      </w:pPr>
      <w:r>
        <w:rPr>
          <w:rFonts w:asciiTheme="minorEastAsia" w:hAnsiTheme="minorEastAsia" w:cstheme="minorEastAsia" w:hint="eastAsia"/>
          <w:b/>
          <w:bCs/>
          <w:sz w:val="24"/>
        </w:rPr>
        <w:t>课程设置</w:t>
      </w:r>
    </w:p>
    <w:p w:rsidR="007D1EF7" w:rsidRDefault="007D1EF7">
      <w:pPr>
        <w:spacing w:line="380" w:lineRule="exact"/>
        <w:rPr>
          <w:rFonts w:asciiTheme="minorEastAsia" w:hAnsiTheme="minorEastAsia" w:cstheme="minorEastAsia"/>
          <w:b/>
          <w:bCs/>
          <w:sz w:val="24"/>
        </w:rPr>
      </w:pPr>
    </w:p>
    <w:tbl>
      <w:tblPr>
        <w:tblStyle w:val="a3"/>
        <w:tblW w:w="8522" w:type="dxa"/>
        <w:tblLayout w:type="fixed"/>
        <w:tblLook w:val="04A0"/>
      </w:tblPr>
      <w:tblGrid>
        <w:gridCol w:w="2401"/>
        <w:gridCol w:w="3280"/>
        <w:gridCol w:w="2841"/>
      </w:tblGrid>
      <w:tr w:rsidR="007D1EF7">
        <w:trPr>
          <w:trHeight w:val="550"/>
        </w:trPr>
        <w:tc>
          <w:tcPr>
            <w:tcW w:w="8522" w:type="dxa"/>
            <w:gridSpan w:val="3"/>
            <w:vAlign w:val="center"/>
          </w:tcPr>
          <w:p w:rsidR="007D1EF7" w:rsidRDefault="009C1FEA">
            <w:pPr>
              <w:spacing w:line="380" w:lineRule="exact"/>
              <w:jc w:val="center"/>
              <w:rPr>
                <w:rFonts w:asciiTheme="minorEastAsia" w:hAnsiTheme="minorEastAsia" w:cstheme="minorEastAsia"/>
                <w:b/>
                <w:bCs/>
                <w:sz w:val="24"/>
              </w:rPr>
            </w:pPr>
            <w:r>
              <w:rPr>
                <w:rFonts w:asciiTheme="minorEastAsia" w:hAnsiTheme="minorEastAsia" w:cstheme="minorEastAsia" w:hint="eastAsia"/>
                <w:b/>
                <w:bCs/>
                <w:sz w:val="24"/>
              </w:rPr>
              <w:t>经贸翻译方向课程</w:t>
            </w:r>
          </w:p>
        </w:tc>
      </w:tr>
      <w:tr w:rsidR="007D1EF7">
        <w:tc>
          <w:tcPr>
            <w:tcW w:w="2401"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课程类别</w:t>
            </w: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课程名称</w:t>
            </w:r>
          </w:p>
        </w:tc>
      </w:tr>
      <w:tr w:rsidR="007D1EF7">
        <w:tc>
          <w:tcPr>
            <w:tcW w:w="2401" w:type="dxa"/>
            <w:vMerge w:val="restart"/>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ab/>
              <w:t>学位课</w:t>
            </w:r>
          </w:p>
        </w:tc>
        <w:tc>
          <w:tcPr>
            <w:tcW w:w="3280"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语言学</w:t>
            </w:r>
          </w:p>
        </w:tc>
        <w:tc>
          <w:tcPr>
            <w:tcW w:w="2841"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政治</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3280"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西方经济学</w:t>
            </w:r>
          </w:p>
        </w:tc>
        <w:tc>
          <w:tcPr>
            <w:tcW w:w="2841"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二外（法/日）</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研究方法与论文写作</w:t>
            </w:r>
          </w:p>
        </w:tc>
      </w:tr>
      <w:tr w:rsidR="007D1EF7">
        <w:tc>
          <w:tcPr>
            <w:tcW w:w="2401" w:type="dxa"/>
            <w:vMerge w:val="restart"/>
            <w:vAlign w:val="center"/>
          </w:tcPr>
          <w:p w:rsidR="007D1EF7" w:rsidRDefault="007D1EF7">
            <w:pPr>
              <w:spacing w:line="380" w:lineRule="exact"/>
              <w:jc w:val="center"/>
              <w:rPr>
                <w:rFonts w:asciiTheme="minorEastAsia" w:hAnsiTheme="minorEastAsia" w:cstheme="minorEastAsia"/>
                <w:sz w:val="24"/>
              </w:rPr>
            </w:pPr>
          </w:p>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必修课</w:t>
            </w:r>
          </w:p>
        </w:tc>
        <w:tc>
          <w:tcPr>
            <w:tcW w:w="3280"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翻译理论概要</w:t>
            </w:r>
          </w:p>
        </w:tc>
        <w:tc>
          <w:tcPr>
            <w:tcW w:w="2841"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法律法规翻译</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3280"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高级商务英语写作</w:t>
            </w:r>
          </w:p>
        </w:tc>
        <w:tc>
          <w:tcPr>
            <w:tcW w:w="2841"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商务英语阅读</w:t>
            </w:r>
          </w:p>
        </w:tc>
      </w:tr>
      <w:tr w:rsidR="007D1EF7">
        <w:trPr>
          <w:trHeight w:val="317"/>
        </w:trPr>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3280"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经贸翻译</w:t>
            </w:r>
          </w:p>
        </w:tc>
        <w:tc>
          <w:tcPr>
            <w:tcW w:w="2841"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交替传译</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3280"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跨文化商务交流</w:t>
            </w:r>
          </w:p>
        </w:tc>
        <w:tc>
          <w:tcPr>
            <w:tcW w:w="2841" w:type="dxa"/>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英美文学</w:t>
            </w:r>
          </w:p>
        </w:tc>
      </w:tr>
      <w:tr w:rsidR="007D1EF7">
        <w:tc>
          <w:tcPr>
            <w:tcW w:w="2401" w:type="dxa"/>
            <w:vMerge w:val="restart"/>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前沿讲座</w:t>
            </w: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国际职场英语教学：迎接挑战</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口译教学——反思性自主口译训练</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批判性思维的培养与英语写作教学</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商贸函电的文体特点及翻译</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翻译研究的现状与前瞻</w:t>
            </w:r>
          </w:p>
        </w:tc>
      </w:tr>
      <w:tr w:rsidR="007D1EF7">
        <w:tc>
          <w:tcPr>
            <w:tcW w:w="2401" w:type="dxa"/>
            <w:vMerge/>
            <w:vAlign w:val="center"/>
          </w:tcPr>
          <w:p w:rsidR="007D1EF7" w:rsidRDefault="007D1EF7">
            <w:pPr>
              <w:spacing w:line="380" w:lineRule="exact"/>
              <w:jc w:val="center"/>
              <w:rPr>
                <w:rFonts w:asciiTheme="minorEastAsia" w:hAnsiTheme="minorEastAsia" w:cstheme="minorEastAsia"/>
                <w:sz w:val="24"/>
              </w:rPr>
            </w:pPr>
          </w:p>
        </w:tc>
        <w:tc>
          <w:tcPr>
            <w:tcW w:w="6121" w:type="dxa"/>
            <w:gridSpan w:val="2"/>
            <w:vAlign w:val="center"/>
          </w:tcPr>
          <w:p w:rsidR="007D1EF7" w:rsidRDefault="009C1FEA">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现场翻译及外事交际实战与技巧</w:t>
            </w:r>
          </w:p>
        </w:tc>
      </w:tr>
    </w:tbl>
    <w:p w:rsidR="007D1EF7" w:rsidRDefault="007D1EF7">
      <w:pPr>
        <w:spacing w:line="380" w:lineRule="exact"/>
        <w:jc w:val="center"/>
        <w:rPr>
          <w:rFonts w:asciiTheme="minorEastAsia" w:hAnsiTheme="minorEastAsia" w:cstheme="minorEastAsia"/>
          <w:b/>
          <w:bCs/>
          <w:sz w:val="24"/>
        </w:rPr>
      </w:pPr>
    </w:p>
    <w:p w:rsidR="007D1EF7" w:rsidRDefault="009C1FEA" w:rsidP="00FF7A67">
      <w:pPr>
        <w:spacing w:line="380" w:lineRule="exact"/>
        <w:jc w:val="center"/>
        <w:rPr>
          <w:rFonts w:asciiTheme="minorEastAsia" w:hAnsiTheme="minorEastAsia" w:cstheme="minorEastAsia"/>
          <w:sz w:val="24"/>
        </w:rPr>
      </w:pPr>
      <w:r>
        <w:rPr>
          <w:rFonts w:asciiTheme="minorEastAsia" w:hAnsiTheme="minorEastAsia" w:cstheme="minorEastAsia" w:hint="eastAsia"/>
          <w:sz w:val="24"/>
        </w:rPr>
        <w:t>注：讲座主题以实际为标准</w:t>
      </w: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五、招生条件及录取</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1、大学本科或大专以上学历（含同等学力），英语达到公共外语四级以上水平；</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2、本科以下学历允许上课，成绩合格者能拿到结业证书；拿到本科学位后可申请学位，申请学位的时限为获得结业证书之日起3年之内；</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3、根据招生计划，对外经济贸易大学研究生院负责审核录取课程班学员，并由研究生院统一发放录取通知书。</w:t>
      </w:r>
    </w:p>
    <w:p w:rsidR="007D1EF7" w:rsidRDefault="007D1EF7">
      <w:pPr>
        <w:spacing w:line="380" w:lineRule="exact"/>
        <w:rPr>
          <w:rFonts w:asciiTheme="minorEastAsia" w:hAnsiTheme="minorEastAsia" w:cstheme="minorEastAsia"/>
          <w:sz w:val="24"/>
        </w:rPr>
      </w:pP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六、培养方式</w:t>
      </w:r>
    </w:p>
    <w:p w:rsidR="007D1EF7" w:rsidRDefault="009C1FEA">
      <w:pPr>
        <w:spacing w:line="380" w:lineRule="exact"/>
        <w:rPr>
          <w:rFonts w:asciiTheme="minorEastAsia" w:hAnsiTheme="minorEastAsia" w:cstheme="minorEastAsia"/>
          <w:sz w:val="24"/>
        </w:rPr>
      </w:pPr>
      <w:r>
        <w:rPr>
          <w:rFonts w:asciiTheme="minorEastAsia" w:hAnsiTheme="minorEastAsia" w:cstheme="minorEastAsia" w:hint="eastAsia"/>
          <w:sz w:val="24"/>
        </w:rPr>
        <w:lastRenderedPageBreak/>
        <w:t xml:space="preserve">    1、学习时间：学制两年，在职学习（不脱产），周日/暑期集中上课；</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2、学习方式：采取理论与实践相结合、集中讲授与自学相结合的学习方式教学，发讲授提纲和教材，规定必读与参考书；</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3、授课地点：对外经济贸易大学成都教学中心；</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4、开课时间：正在招生中！</w:t>
      </w:r>
    </w:p>
    <w:p w:rsidR="007D1EF7" w:rsidRDefault="007D1EF7">
      <w:pPr>
        <w:spacing w:line="380" w:lineRule="exact"/>
        <w:rPr>
          <w:rFonts w:asciiTheme="minorEastAsia" w:hAnsiTheme="minorEastAsia" w:cstheme="minorEastAsia"/>
          <w:sz w:val="24"/>
        </w:rPr>
      </w:pP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七、学习费用</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1、课程班学费34000元，不含申硕论文答辩费用；</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2、课程班学费不含学员参加同等学力课程水平认定考试相关的交通费、食宿费用。</w:t>
      </w:r>
    </w:p>
    <w:p w:rsidR="007D1EF7" w:rsidRDefault="007D1EF7">
      <w:pPr>
        <w:spacing w:line="380" w:lineRule="exact"/>
        <w:rPr>
          <w:rFonts w:asciiTheme="minorEastAsia" w:hAnsiTheme="minorEastAsia" w:cstheme="minorEastAsia"/>
          <w:sz w:val="24"/>
        </w:rPr>
      </w:pP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八、获取证书</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学员完成规定的课程学习，经考试合格，由对外经济贸易大学颁发具有研究生同等学力水平证明的结业证书《对外经济贸易大学研修班结业证书》（钢印、红印、统一编号）。以上证书可作为学员评聘专业技术职务职称具有研究生同等学力的参考依据；</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2、符合申请硕士学位条件的学员（取得国家承认学士学位）可按我校有关规定申请对外经济贸易大学硕士学位。 </w:t>
      </w:r>
    </w:p>
    <w:p w:rsidR="007D1EF7" w:rsidRDefault="007D1EF7">
      <w:pPr>
        <w:spacing w:line="380" w:lineRule="exact"/>
        <w:ind w:firstLineChars="200" w:firstLine="480"/>
        <w:rPr>
          <w:rFonts w:asciiTheme="minorEastAsia" w:hAnsiTheme="minorEastAsia" w:cstheme="minorEastAsia"/>
          <w:sz w:val="24"/>
        </w:rPr>
      </w:pPr>
    </w:p>
    <w:p w:rsidR="007D1EF7" w:rsidRDefault="009C1FEA">
      <w:pPr>
        <w:numPr>
          <w:ilvl w:val="0"/>
          <w:numId w:val="2"/>
        </w:numPr>
        <w:rPr>
          <w:rFonts w:asciiTheme="minorEastAsia" w:hAnsiTheme="minorEastAsia" w:cstheme="minorEastAsia"/>
          <w:b/>
          <w:bCs/>
          <w:sz w:val="24"/>
        </w:rPr>
      </w:pPr>
      <w:r>
        <w:rPr>
          <w:rFonts w:asciiTheme="minorEastAsia" w:hAnsiTheme="minorEastAsia" w:cstheme="minorEastAsia" w:hint="eastAsia"/>
          <w:b/>
          <w:bCs/>
          <w:sz w:val="24"/>
        </w:rPr>
        <w:t>申请学位条件及流程</w:t>
      </w:r>
    </w:p>
    <w:p w:rsidR="007D1EF7" w:rsidRDefault="007D1EF7">
      <w:pPr>
        <w:rPr>
          <w:rFonts w:asciiTheme="minorEastAsia" w:hAnsiTheme="minorEastAsia" w:cstheme="minorEastAsia"/>
          <w:b/>
          <w:bCs/>
          <w:sz w:val="24"/>
        </w:rPr>
      </w:pPr>
    </w:p>
    <w:p w:rsidR="007D1EF7" w:rsidRDefault="009C1FEA">
      <w:pP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114300" distR="114300">
            <wp:extent cx="5755005" cy="1687830"/>
            <wp:effectExtent l="0" t="0" r="0" b="7620"/>
            <wp:docPr id="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7" cstate="print"/>
                    <a:stretch>
                      <a:fillRect/>
                    </a:stretch>
                  </pic:blipFill>
                  <pic:spPr>
                    <a:xfrm>
                      <a:off x="0" y="0"/>
                      <a:ext cx="5755005" cy="1687830"/>
                    </a:xfrm>
                    <a:prstGeom prst="rect">
                      <a:avLst/>
                    </a:prstGeom>
                    <a:noFill/>
                    <a:ln w="9525">
                      <a:noFill/>
                    </a:ln>
                  </pic:spPr>
                </pic:pic>
              </a:graphicData>
            </a:graphic>
          </wp:inline>
        </w:drawing>
      </w:r>
      <w:bookmarkStart w:id="0" w:name="_GoBack"/>
      <w:bookmarkEnd w:id="0"/>
    </w:p>
    <w:p w:rsidR="007D1EF7" w:rsidRDefault="007D1EF7">
      <w:pPr>
        <w:spacing w:line="380" w:lineRule="exact"/>
        <w:rPr>
          <w:rFonts w:asciiTheme="minorEastAsia" w:hAnsiTheme="minorEastAsia" w:cstheme="minorEastAsia"/>
          <w:b/>
          <w:bCs/>
          <w:sz w:val="24"/>
        </w:rPr>
      </w:pPr>
    </w:p>
    <w:p w:rsidR="007D1EF7" w:rsidRDefault="009C1FEA">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十、报名事项</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1、索取并填写在职课程研修班报名登记表；</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2、提供本人身份证原件与复印件一份、最高学历和学位证书原件与复印件一份；</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3、提交1 寸照片2张、2寸照片2张；</w:t>
      </w:r>
    </w:p>
    <w:p w:rsidR="007D1EF7" w:rsidRDefault="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4、学校对报名人员进行初步资格审查合格后，发放录取通知书。</w:t>
      </w:r>
    </w:p>
    <w:p w:rsidR="009C1FEA" w:rsidRDefault="009C1FEA" w:rsidP="00FF7A67">
      <w:pPr>
        <w:spacing w:line="380" w:lineRule="exact"/>
        <w:rPr>
          <w:rFonts w:asciiTheme="minorEastAsia" w:hAnsiTheme="minorEastAsia" w:cstheme="minorEastAsia"/>
          <w:sz w:val="24"/>
        </w:rPr>
      </w:pPr>
    </w:p>
    <w:p w:rsidR="009C1FEA" w:rsidRDefault="009C1FEA" w:rsidP="009C1FEA">
      <w:pPr>
        <w:spacing w:line="380" w:lineRule="exact"/>
        <w:ind w:firstLineChars="200" w:firstLine="480"/>
        <w:rPr>
          <w:rFonts w:asciiTheme="minorEastAsia" w:hAnsiTheme="minorEastAsia" w:cstheme="minorEastAsia"/>
          <w:sz w:val="24"/>
        </w:rPr>
      </w:pPr>
    </w:p>
    <w:p w:rsidR="009C1FEA" w:rsidRDefault="009C1FEA" w:rsidP="009C1FEA">
      <w:pPr>
        <w:spacing w:line="380" w:lineRule="exact"/>
        <w:ind w:firstLineChars="200" w:firstLine="480"/>
        <w:rPr>
          <w:rFonts w:asciiTheme="minorEastAsia" w:hAnsiTheme="minorEastAsia" w:cstheme="minorEastAsia"/>
          <w:sz w:val="24"/>
        </w:rPr>
      </w:pPr>
    </w:p>
    <w:p w:rsidR="009C1FEA" w:rsidRDefault="009C1FEA" w:rsidP="009C1FEA">
      <w:pPr>
        <w:jc w:val="center"/>
        <w:rPr>
          <w:sz w:val="36"/>
          <w:szCs w:val="36"/>
        </w:rPr>
      </w:pPr>
      <w:r>
        <w:rPr>
          <w:rFonts w:hint="eastAsia"/>
          <w:sz w:val="36"/>
          <w:szCs w:val="36"/>
        </w:rPr>
        <w:t>校方通用报名表</w:t>
      </w:r>
    </w:p>
    <w:p w:rsidR="009C1FEA" w:rsidRDefault="009C1FEA" w:rsidP="009C1FEA">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9C1FEA" w:rsidTr="009C1FEA">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vMerge w:val="restart"/>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9C1FEA" w:rsidRDefault="009C1FEA">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9C1FEA" w:rsidRDefault="00793E21">
            <w:pPr>
              <w:ind w:firstLineChars="150" w:firstLine="315"/>
              <w:jc w:val="left"/>
              <w:rPr>
                <w:szCs w:val="21"/>
              </w:rPr>
            </w:pPr>
            <w:r w:rsidRPr="00793E21">
              <w:rPr>
                <w:rFonts w:eastAsia="宋体" w:cs="Times New Roman"/>
              </w:rPr>
              <w:pict>
                <v:rect id="_x0000_s1027" style="position:absolute;left:0;text-align:left;margin-left:.65pt;margin-top:2.35pt;width:9.8pt;height:9.75pt;z-index:251656704;mso-position-horizontal-relative:text;mso-position-vertical-relative:text"/>
              </w:pict>
            </w:r>
            <w:r w:rsidRPr="00793E21">
              <w:rPr>
                <w:rFonts w:eastAsia="宋体" w:cs="Times New Roman"/>
              </w:rPr>
              <w:pict>
                <v:rect id="_x0000_s1026" style="position:absolute;left:0;text-align:left;margin-left:59.95pt;margin-top:2.35pt;width:9.75pt;height:9.75pt;z-index:251657728;mso-position-horizontal-relative:text;mso-position-vertical-relative:text"/>
              </w:pict>
            </w:r>
            <w:r w:rsidRPr="00793E21">
              <w:rPr>
                <w:rFonts w:eastAsia="宋体" w:cs="Times New Roman"/>
              </w:rPr>
              <w:pict>
                <v:rect id="_x0000_s1028" style="position:absolute;left:0;text-align:left;margin-left:118.4pt;margin-top:2.35pt;width:8.3pt;height:9.75pt;z-index:251658752;mso-position-horizontal-relative:text;mso-position-vertical-relative:text"/>
              </w:pict>
            </w:r>
            <w:r w:rsidR="009C1FEA">
              <w:rPr>
                <w:rFonts w:hint="eastAsia"/>
                <w:szCs w:val="21"/>
              </w:rPr>
              <w:t>银行汇款</w:t>
            </w:r>
            <w:r w:rsidR="009C1FEA">
              <w:rPr>
                <w:szCs w:val="21"/>
              </w:rPr>
              <w:t xml:space="preserve">   </w:t>
            </w:r>
            <w:r w:rsidR="009C1FEA">
              <w:rPr>
                <w:rFonts w:hint="eastAsia"/>
                <w:szCs w:val="21"/>
              </w:rPr>
              <w:t>现今付款</w:t>
            </w:r>
            <w:r w:rsidR="009C1FEA">
              <w:rPr>
                <w:szCs w:val="21"/>
              </w:rPr>
              <w:t xml:space="preserve">   </w:t>
            </w:r>
            <w:r w:rsidR="009C1FEA">
              <w:rPr>
                <w:rFonts w:hint="eastAsia"/>
                <w:szCs w:val="21"/>
              </w:rPr>
              <w:t>电子转账</w:t>
            </w: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1217" w:type="dxa"/>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8522" w:type="dxa"/>
            <w:gridSpan w:val="6"/>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工作简历</w:t>
            </w:r>
          </w:p>
        </w:tc>
      </w:tr>
      <w:tr w:rsidR="009C1FEA" w:rsidTr="009C1FEA">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9C1FEA" w:rsidRDefault="009C1FEA">
            <w:pPr>
              <w:jc w:val="left"/>
              <w:rPr>
                <w:szCs w:val="21"/>
              </w:rPr>
            </w:pPr>
          </w:p>
        </w:tc>
      </w:tr>
      <w:tr w:rsidR="009C1FEA" w:rsidTr="009C1FEA">
        <w:tc>
          <w:tcPr>
            <w:tcW w:w="8522" w:type="dxa"/>
            <w:gridSpan w:val="6"/>
            <w:tcBorders>
              <w:top w:val="single" w:sz="4" w:space="0" w:color="000000"/>
              <w:left w:val="single" w:sz="4" w:space="0" w:color="000000"/>
              <w:bottom w:val="single" w:sz="4" w:space="0" w:color="000000"/>
              <w:right w:val="single" w:sz="4" w:space="0" w:color="000000"/>
            </w:tcBorders>
            <w:hideMark/>
          </w:tcPr>
          <w:p w:rsidR="009C1FEA" w:rsidRDefault="009C1FEA">
            <w:pPr>
              <w:jc w:val="left"/>
              <w:rPr>
                <w:szCs w:val="21"/>
              </w:rPr>
            </w:pPr>
            <w:r>
              <w:rPr>
                <w:rFonts w:hint="eastAsia"/>
                <w:szCs w:val="21"/>
              </w:rPr>
              <w:t>学习建议</w:t>
            </w:r>
          </w:p>
        </w:tc>
      </w:tr>
    </w:tbl>
    <w:p w:rsidR="009C1FEA" w:rsidRDefault="009C1FEA" w:rsidP="009C1FEA">
      <w:pPr>
        <w:jc w:val="left"/>
        <w:rPr>
          <w:rFonts w:cs="Times New Roman"/>
          <w:szCs w:val="21"/>
        </w:rPr>
      </w:pPr>
    </w:p>
    <w:p w:rsidR="009C1FEA" w:rsidRDefault="009C1FEA" w:rsidP="009C1FEA">
      <w:pPr>
        <w:jc w:val="left"/>
        <w:rPr>
          <w:szCs w:val="21"/>
        </w:rPr>
      </w:pPr>
    </w:p>
    <w:p w:rsidR="009C1FEA" w:rsidRDefault="009C1FEA" w:rsidP="009C1FEA">
      <w:pPr>
        <w:spacing w:line="380" w:lineRule="exact"/>
        <w:ind w:firstLineChars="200" w:firstLine="480"/>
        <w:rPr>
          <w:rFonts w:asciiTheme="minorEastAsia" w:hAnsiTheme="minorEastAsia" w:cstheme="minorEastAsia"/>
          <w:sz w:val="24"/>
        </w:rPr>
      </w:pPr>
    </w:p>
    <w:p w:rsidR="009C1FEA" w:rsidRDefault="009C1FEA" w:rsidP="009C1FEA">
      <w:pPr>
        <w:spacing w:line="380" w:lineRule="exact"/>
        <w:ind w:firstLineChars="200" w:firstLine="480"/>
        <w:rPr>
          <w:rFonts w:asciiTheme="minorEastAsia" w:hAnsiTheme="minorEastAsia" w:cstheme="minorEastAsia"/>
          <w:sz w:val="24"/>
        </w:rPr>
      </w:pPr>
    </w:p>
    <w:p w:rsidR="009C1FEA" w:rsidRDefault="009C1FEA" w:rsidP="009C1FEA">
      <w:pPr>
        <w:spacing w:line="380" w:lineRule="exact"/>
        <w:ind w:firstLineChars="200" w:firstLine="480"/>
        <w:rPr>
          <w:rFonts w:asciiTheme="minorEastAsia" w:hAnsiTheme="minorEastAsia" w:cstheme="minorEastAsia"/>
          <w:sz w:val="24"/>
        </w:rPr>
      </w:pPr>
    </w:p>
    <w:p w:rsidR="009C1FEA" w:rsidRDefault="009C1FEA" w:rsidP="009C1FEA">
      <w:pPr>
        <w:spacing w:line="380" w:lineRule="exact"/>
        <w:ind w:firstLineChars="200" w:firstLine="480"/>
        <w:rPr>
          <w:rFonts w:asciiTheme="minorEastAsia" w:hAnsiTheme="minorEastAsia" w:cstheme="minorEastAsia"/>
          <w:sz w:val="24"/>
        </w:rPr>
      </w:pPr>
    </w:p>
    <w:p w:rsidR="007D1EF7" w:rsidRDefault="009C1FEA" w:rsidP="009C1FEA">
      <w:pPr>
        <w:spacing w:line="380" w:lineRule="exact"/>
        <w:ind w:firstLineChars="200" w:firstLine="480"/>
        <w:rPr>
          <w:rFonts w:asciiTheme="minorEastAsia" w:hAnsiTheme="minorEastAsia" w:cstheme="minorEastAsia"/>
          <w:sz w:val="24"/>
        </w:rPr>
      </w:pPr>
      <w:r>
        <w:rPr>
          <w:rFonts w:asciiTheme="minorEastAsia" w:hAnsiTheme="minorEastAsia" w:cstheme="minorEastAsia"/>
          <w:sz w:val="24"/>
        </w:rPr>
        <w:t xml:space="preserve"> </w:t>
      </w:r>
    </w:p>
    <w:p w:rsidR="007D1EF7" w:rsidRDefault="007D1EF7">
      <w:pPr>
        <w:spacing w:line="380" w:lineRule="exact"/>
        <w:rPr>
          <w:rFonts w:asciiTheme="minorEastAsia" w:hAnsiTheme="minorEastAsia" w:cstheme="minorEastAsia"/>
          <w:sz w:val="24"/>
        </w:rPr>
      </w:pPr>
    </w:p>
    <w:p w:rsidR="007D1EF7" w:rsidRDefault="007D1EF7">
      <w:pPr>
        <w:spacing w:line="380" w:lineRule="exact"/>
        <w:rPr>
          <w:rFonts w:asciiTheme="minorEastAsia" w:hAnsiTheme="minorEastAsia" w:cstheme="minorEastAsia"/>
          <w:sz w:val="24"/>
        </w:rPr>
      </w:pPr>
    </w:p>
    <w:sectPr w:rsidR="007D1EF7" w:rsidSect="007D1EF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26EE4"/>
    <w:multiLevelType w:val="singleLevel"/>
    <w:tmpl w:val="59926EE4"/>
    <w:lvl w:ilvl="0">
      <w:start w:val="4"/>
      <w:numFmt w:val="chineseCounting"/>
      <w:suff w:val="nothing"/>
      <w:lvlText w:val="%1、"/>
      <w:lvlJc w:val="left"/>
    </w:lvl>
  </w:abstractNum>
  <w:abstractNum w:abstractNumId="1">
    <w:nsid w:val="59926F56"/>
    <w:multiLevelType w:val="singleLevel"/>
    <w:tmpl w:val="59926F56"/>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1314B45"/>
    <w:rsid w:val="00793E21"/>
    <w:rsid w:val="007D1EF7"/>
    <w:rsid w:val="009C1FEA"/>
    <w:rsid w:val="00FF7A67"/>
    <w:rsid w:val="1EBF3E99"/>
    <w:rsid w:val="31314B45"/>
    <w:rsid w:val="54161CD3"/>
    <w:rsid w:val="7CBF5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EF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D1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9C1FEA"/>
    <w:rPr>
      <w:sz w:val="18"/>
      <w:szCs w:val="18"/>
    </w:rPr>
  </w:style>
  <w:style w:type="character" w:customStyle="1" w:styleId="Char">
    <w:name w:val="批注框文本 Char"/>
    <w:basedOn w:val="a0"/>
    <w:link w:val="a4"/>
    <w:rsid w:val="009C1FE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554123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so.com/doc/4791134-5007185.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2017-11-10T02:04:00Z</dcterms:created>
  <dcterms:modified xsi:type="dcterms:W3CDTF">2018-06-15T03:02:00Z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