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C3B" w:rsidRDefault="00961886">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中国政法大学政治学专业同等学力在职研修班</w:t>
      </w:r>
    </w:p>
    <w:p w:rsidR="00032C3B" w:rsidRDefault="00961886">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招生简章（北京班）</w:t>
      </w:r>
    </w:p>
    <w:p w:rsidR="00032C3B" w:rsidRDefault="00032C3B">
      <w:pPr>
        <w:spacing w:line="360" w:lineRule="exact"/>
        <w:rPr>
          <w:rFonts w:asciiTheme="minorEastAsia" w:hAnsiTheme="minorEastAsia" w:cstheme="minorEastAsia"/>
          <w:sz w:val="24"/>
        </w:rPr>
      </w:pP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中国政法大学是中华人民共和国教育部直属的一所以法学、政治学、管理学为特色和优势的，多学科门类协调发展、具有鲜明特色的全国重点大学，系国家“211工程”、“985工程优势学科创新平台”重点建设项目，被列入首批“2011协同创新计划”、“111计划”，被誉为“政法人才的摇篮”。</w:t>
      </w:r>
    </w:p>
    <w:p w:rsidR="00032C3B" w:rsidRDefault="00032C3B">
      <w:pPr>
        <w:spacing w:line="360" w:lineRule="exact"/>
        <w:rPr>
          <w:rFonts w:asciiTheme="minorEastAsia" w:hAnsiTheme="minorEastAsia" w:cstheme="minorEastAsia"/>
          <w:sz w:val="24"/>
        </w:rPr>
      </w:pPr>
    </w:p>
    <w:p w:rsidR="00032C3B" w:rsidRDefault="00961886">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一、专业简介</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政治与公共管理学院现拥有北京市一级学科重点学科1个，北京市二级学科重点学科2个，国家级特色专业1个；师资团队学术造诣深厚、教书育人成果突出、具有国际化视野。学院的目标是凭借高水平的科研成果、高质量的人才培养、精准的社会服务，逐步成长为具有较大国际影响的政治学、公共管理的科研和人才培养重镇。</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政治学是近代从西方传到中国来的一门学问，属于社会科学。政治学以国家及其活动为主要研究对象，范围涉及政治理论、政治制度、公共政策、</w:t>
      </w:r>
      <w:hyperlink r:id="rId7" w:tgtFrame="https://baike.so.com/doc/_blank" w:history="1">
        <w:r>
          <w:rPr>
            <w:rFonts w:asciiTheme="minorEastAsia" w:hAnsiTheme="minorEastAsia" w:cstheme="minorEastAsia" w:hint="eastAsia"/>
            <w:sz w:val="24"/>
          </w:rPr>
          <w:t>公共行政</w:t>
        </w:r>
      </w:hyperlink>
      <w:r>
        <w:rPr>
          <w:rFonts w:asciiTheme="minorEastAsia" w:hAnsiTheme="minorEastAsia" w:cstheme="minorEastAsia" w:hint="eastAsia"/>
          <w:sz w:val="24"/>
        </w:rPr>
        <w:t>和国际政治等领域。</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依据国务院学位委员会、教育部、国家发展改革委发布《关于进一步加强在职人员攻读硕士专业和授予同等学力人员硕士、博士学位管理工作的意见》和《中国政法大学研究生同等学力人员课程学习及水平认定考试办法（试行）》等规定，制定本招生简章。</w:t>
      </w:r>
    </w:p>
    <w:p w:rsidR="00032C3B" w:rsidRDefault="00032C3B">
      <w:pPr>
        <w:spacing w:line="360" w:lineRule="exact"/>
        <w:rPr>
          <w:rFonts w:asciiTheme="minorEastAsia" w:hAnsiTheme="minorEastAsia" w:cstheme="minorEastAsia"/>
          <w:sz w:val="24"/>
        </w:rPr>
      </w:pPr>
    </w:p>
    <w:p w:rsidR="00032C3B" w:rsidRDefault="00961886">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1、本专业培养具有一定马克思主义理论素养和政治学、行政学方面的基本理论和专门知识，受到政治学研究、公共政策分析、</w:t>
      </w:r>
      <w:hyperlink r:id="rId8" w:tgtFrame="https://baike.so.com/doc/_blank" w:history="1">
        <w:r>
          <w:rPr>
            <w:rFonts w:asciiTheme="minorEastAsia" w:hAnsiTheme="minorEastAsia" w:cstheme="minorEastAsia" w:hint="eastAsia"/>
            <w:sz w:val="24"/>
          </w:rPr>
          <w:t>社会调查与统计</w:t>
        </w:r>
      </w:hyperlink>
      <w:r>
        <w:rPr>
          <w:rFonts w:asciiTheme="minorEastAsia" w:hAnsiTheme="minorEastAsia" w:cstheme="minorEastAsia" w:hint="eastAsia"/>
          <w:sz w:val="24"/>
        </w:rPr>
        <w:t>等方面的基本训练，掌握调查研究、分析判断和协调组织等方面能力的应用型人才；</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2、能在党政机关、新闻出版机构、企事业和社会团体等单位从事教学科研、行政管理等方面工作的政治学和行政学高级专门人才。</w:t>
      </w:r>
    </w:p>
    <w:p w:rsidR="00032C3B" w:rsidRDefault="00032C3B">
      <w:pPr>
        <w:spacing w:line="360" w:lineRule="exact"/>
        <w:rPr>
          <w:rFonts w:asciiTheme="minorEastAsia" w:hAnsiTheme="minorEastAsia" w:cstheme="minorEastAsia"/>
          <w:sz w:val="24"/>
        </w:rPr>
      </w:pPr>
    </w:p>
    <w:p w:rsidR="00032C3B" w:rsidRDefault="00961886">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1、经过30年的发展，政治与公共管理学院围绕政治学理论、中外政治制度和公共事务治理已形成较完备的学科专业体系，已成为国内政治学、公共管理领域人才培养、科学研究、国际交流和社会服务的重要基地；</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2、中国政法大学政治学专业在2012年列为北京市一级重点学科，是政治与公共管理学院唯一的北京市一级重点建设学科；</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3、授课教师均为学校优秀研究生讲师，教学经验丰富，为学员带来优质的教学内容；</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4、学校会不定期邀请业内专家为学员讲授核心课程，达到优质师资力量配置最大化；</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5、学员课余可参加学校组织的线上沙龙活动、名师讲座，融入政法大学校友网络，结校友，获高端人脉资源。</w:t>
      </w:r>
    </w:p>
    <w:p w:rsidR="00032C3B" w:rsidRDefault="00032C3B">
      <w:pPr>
        <w:spacing w:line="360" w:lineRule="exact"/>
        <w:rPr>
          <w:rFonts w:asciiTheme="minorEastAsia" w:hAnsiTheme="minorEastAsia" w:cstheme="minorEastAsia"/>
          <w:sz w:val="24"/>
        </w:rPr>
      </w:pPr>
    </w:p>
    <w:p w:rsidR="00032C3B" w:rsidRDefault="00961886">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四、报名条件</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1、坚持四项基本原则，表现良好的业务骨干，身体健康，能坚持在职学习；</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2、国民教育序列大学本科毕业，并获得学士学位者；</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3、大专学历者或本科无学位者，可参加研修班课程的学习。</w:t>
      </w:r>
    </w:p>
    <w:p w:rsidR="00032C3B" w:rsidRDefault="00032C3B">
      <w:pPr>
        <w:spacing w:line="360" w:lineRule="exact"/>
        <w:rPr>
          <w:rFonts w:asciiTheme="minorEastAsia" w:hAnsiTheme="minorEastAsia" w:cstheme="minorEastAsia"/>
          <w:sz w:val="24"/>
        </w:rPr>
      </w:pPr>
    </w:p>
    <w:p w:rsidR="00032C3B" w:rsidRDefault="00961886">
      <w:pPr>
        <w:spacing w:line="360" w:lineRule="exact"/>
        <w:rPr>
          <w:rFonts w:asciiTheme="minorEastAsia" w:hAnsiTheme="minorEastAsia" w:cstheme="minorEastAsia"/>
          <w:sz w:val="24"/>
        </w:rPr>
      </w:pPr>
      <w:r>
        <w:rPr>
          <w:rFonts w:asciiTheme="minorEastAsia" w:hAnsiTheme="minorEastAsia" w:cstheme="minorEastAsia" w:hint="eastAsia"/>
          <w:b/>
          <w:bCs/>
          <w:sz w:val="24"/>
        </w:rPr>
        <w:t>五、课程设置</w:t>
      </w:r>
    </w:p>
    <w:p w:rsidR="00032C3B" w:rsidRDefault="00032C3B">
      <w:pPr>
        <w:spacing w:line="360" w:lineRule="exact"/>
        <w:rPr>
          <w:rFonts w:asciiTheme="minorEastAsia" w:hAnsiTheme="minorEastAsia" w:cstheme="minorEastAsia"/>
          <w:sz w:val="24"/>
        </w:rPr>
      </w:pPr>
    </w:p>
    <w:tbl>
      <w:tblPr>
        <w:tblStyle w:val="a4"/>
        <w:tblW w:w="8293" w:type="dxa"/>
        <w:tblLayout w:type="fixed"/>
        <w:tblLook w:val="04A0"/>
      </w:tblPr>
      <w:tblGrid>
        <w:gridCol w:w="1906"/>
        <w:gridCol w:w="6387"/>
      </w:tblGrid>
      <w:tr w:rsidR="00032C3B">
        <w:trPr>
          <w:trHeight w:val="1075"/>
        </w:trPr>
        <w:tc>
          <w:tcPr>
            <w:tcW w:w="1906" w:type="dxa"/>
            <w:tcMar>
              <w:top w:w="0" w:type="dxa"/>
              <w:left w:w="0" w:type="dxa"/>
              <w:bottom w:w="0" w:type="dxa"/>
              <w:right w:w="0" w:type="dxa"/>
            </w:tcMar>
            <w:vAlign w:val="center"/>
          </w:tcPr>
          <w:p w:rsidR="00032C3B" w:rsidRDefault="00961886">
            <w:pPr>
              <w:spacing w:line="360" w:lineRule="exact"/>
              <w:jc w:val="center"/>
              <w:rPr>
                <w:rFonts w:asciiTheme="minorEastAsia" w:hAnsiTheme="minorEastAsia" w:cstheme="minorEastAsia"/>
                <w:b/>
                <w:bCs/>
                <w:szCs w:val="21"/>
              </w:rPr>
            </w:pPr>
            <w:bookmarkStart w:id="0" w:name="_GoBack"/>
            <w:r>
              <w:rPr>
                <w:rFonts w:asciiTheme="minorEastAsia" w:hAnsiTheme="minorEastAsia" w:cstheme="minorEastAsia" w:hint="eastAsia"/>
                <w:b/>
                <w:bCs/>
                <w:szCs w:val="21"/>
              </w:rPr>
              <w:t>学位课</w:t>
            </w:r>
          </w:p>
        </w:tc>
        <w:tc>
          <w:tcPr>
            <w:tcW w:w="6387" w:type="dxa"/>
            <w:tcMar>
              <w:top w:w="0" w:type="dxa"/>
              <w:left w:w="261" w:type="dxa"/>
              <w:bottom w:w="0" w:type="dxa"/>
              <w:right w:w="0" w:type="dxa"/>
            </w:tcMar>
            <w:vAlign w:val="center"/>
          </w:tcPr>
          <w:p w:rsidR="00032C3B" w:rsidRDefault="00961886">
            <w:pPr>
              <w:spacing w:line="360" w:lineRule="exact"/>
              <w:rPr>
                <w:rFonts w:asciiTheme="minorEastAsia" w:hAnsiTheme="minorEastAsia" w:cstheme="minorEastAsia"/>
                <w:szCs w:val="21"/>
              </w:rPr>
            </w:pPr>
            <w:r>
              <w:rPr>
                <w:rFonts w:asciiTheme="minorEastAsia" w:hAnsiTheme="minorEastAsia" w:cstheme="minorEastAsia" w:hint="eastAsia"/>
                <w:szCs w:val="21"/>
              </w:rPr>
              <w:t>政治学理论前沿问题        西方政治文化传统与政治现代化</w:t>
            </w:r>
          </w:p>
          <w:p w:rsidR="00032C3B" w:rsidRDefault="00961886">
            <w:pPr>
              <w:spacing w:line="360" w:lineRule="exact"/>
              <w:rPr>
                <w:rFonts w:asciiTheme="minorEastAsia" w:hAnsiTheme="minorEastAsia" w:cstheme="minorEastAsia"/>
                <w:szCs w:val="21"/>
              </w:rPr>
            </w:pPr>
            <w:r>
              <w:rPr>
                <w:rFonts w:asciiTheme="minorEastAsia" w:hAnsiTheme="minorEastAsia" w:cstheme="minorEastAsia" w:hint="eastAsia"/>
                <w:szCs w:val="21"/>
              </w:rPr>
              <w:t>当代中国政府与政治        中国政治文化传统与政治现代化</w:t>
            </w:r>
          </w:p>
        </w:tc>
      </w:tr>
      <w:tr w:rsidR="00032C3B">
        <w:trPr>
          <w:trHeight w:val="2010"/>
        </w:trPr>
        <w:tc>
          <w:tcPr>
            <w:tcW w:w="1906" w:type="dxa"/>
            <w:tcMar>
              <w:top w:w="0" w:type="dxa"/>
              <w:left w:w="0" w:type="dxa"/>
              <w:bottom w:w="0" w:type="dxa"/>
              <w:right w:w="0" w:type="dxa"/>
            </w:tcMar>
            <w:vAlign w:val="center"/>
          </w:tcPr>
          <w:p w:rsidR="00032C3B" w:rsidRDefault="00961886">
            <w:pPr>
              <w:spacing w:line="360" w:lineRule="exact"/>
              <w:jc w:val="center"/>
              <w:rPr>
                <w:rFonts w:asciiTheme="minorEastAsia" w:hAnsiTheme="minorEastAsia" w:cstheme="minorEastAsia"/>
                <w:b/>
                <w:bCs/>
                <w:szCs w:val="21"/>
              </w:rPr>
            </w:pPr>
            <w:r>
              <w:rPr>
                <w:rFonts w:asciiTheme="minorEastAsia" w:hAnsiTheme="minorEastAsia" w:cstheme="minorEastAsia" w:hint="eastAsia"/>
                <w:b/>
                <w:bCs/>
                <w:szCs w:val="21"/>
              </w:rPr>
              <w:t>专业必修课</w:t>
            </w:r>
          </w:p>
        </w:tc>
        <w:tc>
          <w:tcPr>
            <w:tcW w:w="6387" w:type="dxa"/>
            <w:tcMar>
              <w:top w:w="0" w:type="dxa"/>
              <w:left w:w="261" w:type="dxa"/>
              <w:bottom w:w="0" w:type="dxa"/>
              <w:right w:w="0" w:type="dxa"/>
            </w:tcMar>
            <w:vAlign w:val="center"/>
          </w:tcPr>
          <w:p w:rsidR="00032C3B" w:rsidRDefault="00961886">
            <w:pPr>
              <w:spacing w:line="360" w:lineRule="exact"/>
              <w:rPr>
                <w:rFonts w:asciiTheme="minorEastAsia" w:hAnsiTheme="minorEastAsia" w:cstheme="minorEastAsia"/>
                <w:szCs w:val="21"/>
              </w:rPr>
            </w:pPr>
            <w:r>
              <w:rPr>
                <w:rFonts w:asciiTheme="minorEastAsia" w:hAnsiTheme="minorEastAsia" w:cstheme="minorEastAsia" w:hint="eastAsia"/>
                <w:szCs w:val="21"/>
              </w:rPr>
              <w:t>中国传统政治制度专题研究  比较政治制度</w:t>
            </w:r>
          </w:p>
          <w:p w:rsidR="00032C3B" w:rsidRDefault="00961886">
            <w:pPr>
              <w:spacing w:line="360" w:lineRule="exact"/>
              <w:rPr>
                <w:rFonts w:asciiTheme="minorEastAsia" w:hAnsiTheme="minorEastAsia" w:cstheme="minorEastAsia"/>
                <w:szCs w:val="21"/>
              </w:rPr>
            </w:pPr>
            <w:r>
              <w:rPr>
                <w:rFonts w:asciiTheme="minorEastAsia" w:hAnsiTheme="minorEastAsia" w:cstheme="minorEastAsia" w:hint="eastAsia"/>
                <w:szCs w:val="21"/>
              </w:rPr>
              <w:t>宪政原理                  中国政治史专题</w:t>
            </w:r>
          </w:p>
          <w:p w:rsidR="00032C3B" w:rsidRDefault="00961886">
            <w:pPr>
              <w:spacing w:line="360" w:lineRule="exact"/>
              <w:rPr>
                <w:rFonts w:asciiTheme="minorEastAsia" w:hAnsiTheme="minorEastAsia" w:cstheme="minorEastAsia"/>
                <w:szCs w:val="21"/>
              </w:rPr>
            </w:pPr>
            <w:r>
              <w:rPr>
                <w:rFonts w:asciiTheme="minorEastAsia" w:hAnsiTheme="minorEastAsia" w:cstheme="minorEastAsia" w:hint="eastAsia"/>
                <w:szCs w:val="21"/>
              </w:rPr>
              <w:t>国家与社会                儒教中国问题研究</w:t>
            </w:r>
          </w:p>
          <w:p w:rsidR="00032C3B" w:rsidRDefault="00961886">
            <w:pPr>
              <w:spacing w:line="360" w:lineRule="exact"/>
              <w:rPr>
                <w:rFonts w:asciiTheme="minorEastAsia" w:hAnsiTheme="minorEastAsia" w:cstheme="minorEastAsia"/>
                <w:szCs w:val="21"/>
              </w:rPr>
            </w:pPr>
            <w:r>
              <w:rPr>
                <w:rFonts w:asciiTheme="minorEastAsia" w:hAnsiTheme="minorEastAsia" w:cstheme="minorEastAsia" w:hint="eastAsia"/>
                <w:szCs w:val="21"/>
              </w:rPr>
              <w:t>制度分析理论与方法        中国近现代政治哲学专题</w:t>
            </w:r>
          </w:p>
        </w:tc>
      </w:tr>
      <w:bookmarkEnd w:id="0"/>
    </w:tbl>
    <w:p w:rsidR="00032C3B" w:rsidRDefault="00032C3B">
      <w:pPr>
        <w:spacing w:line="360" w:lineRule="exact"/>
        <w:jc w:val="center"/>
        <w:rPr>
          <w:rFonts w:asciiTheme="minorEastAsia" w:hAnsiTheme="minorEastAsia" w:cstheme="minorEastAsia"/>
          <w:sz w:val="24"/>
        </w:rPr>
      </w:pPr>
    </w:p>
    <w:p w:rsidR="00032C3B" w:rsidRDefault="00032C3B">
      <w:pPr>
        <w:spacing w:line="360" w:lineRule="exact"/>
        <w:jc w:val="center"/>
        <w:rPr>
          <w:rFonts w:asciiTheme="minorEastAsia" w:hAnsiTheme="minorEastAsia" w:cstheme="minorEastAsia"/>
          <w:sz w:val="24"/>
        </w:rPr>
      </w:pPr>
    </w:p>
    <w:p w:rsidR="00032C3B" w:rsidRDefault="00961886">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六、收费标准</w:t>
      </w:r>
    </w:p>
    <w:p w:rsidR="00032C3B" w:rsidRDefault="00032C3B">
      <w:pPr>
        <w:spacing w:line="360" w:lineRule="exact"/>
        <w:rPr>
          <w:rFonts w:asciiTheme="minorEastAsia" w:hAnsiTheme="minorEastAsia" w:cstheme="minorEastAsia"/>
          <w:sz w:val="24"/>
        </w:rPr>
      </w:pPr>
    </w:p>
    <w:tbl>
      <w:tblPr>
        <w:tblW w:w="8076" w:type="dxa"/>
        <w:tblCellSpacing w:w="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0"/>
        <w:gridCol w:w="1110"/>
        <w:gridCol w:w="1440"/>
        <w:gridCol w:w="1260"/>
        <w:gridCol w:w="1470"/>
        <w:gridCol w:w="1866"/>
      </w:tblGrid>
      <w:tr w:rsidR="00032C3B" w:rsidRPr="00C64FB5" w:rsidTr="00C64FB5">
        <w:trPr>
          <w:trHeight w:val="372"/>
          <w:tblCellSpacing w:w="0" w:type="dxa"/>
        </w:trPr>
        <w:tc>
          <w:tcPr>
            <w:tcW w:w="930" w:type="dxa"/>
            <w:vAlign w:val="center"/>
          </w:tcPr>
          <w:p w:rsidR="00032C3B" w:rsidRPr="00C64FB5" w:rsidRDefault="00961886" w:rsidP="00C64FB5">
            <w:r w:rsidRPr="00C64FB5">
              <w:rPr>
                <w:rFonts w:hint="eastAsia"/>
              </w:rPr>
              <w:t>班别</w:t>
            </w:r>
          </w:p>
        </w:tc>
        <w:tc>
          <w:tcPr>
            <w:tcW w:w="1110" w:type="dxa"/>
            <w:vAlign w:val="center"/>
          </w:tcPr>
          <w:p w:rsidR="00032C3B" w:rsidRPr="00C64FB5" w:rsidRDefault="00961886" w:rsidP="00C64FB5">
            <w:r w:rsidRPr="00C64FB5">
              <w:rPr>
                <w:rFonts w:hint="eastAsia"/>
              </w:rPr>
              <w:t>学制</w:t>
            </w:r>
          </w:p>
        </w:tc>
        <w:tc>
          <w:tcPr>
            <w:tcW w:w="1440" w:type="dxa"/>
            <w:vAlign w:val="center"/>
          </w:tcPr>
          <w:p w:rsidR="00032C3B" w:rsidRPr="00C64FB5" w:rsidRDefault="00961886" w:rsidP="00C64FB5">
            <w:r w:rsidRPr="00C64FB5">
              <w:rPr>
                <w:rFonts w:hint="eastAsia"/>
              </w:rPr>
              <w:t>报名费（元）</w:t>
            </w:r>
          </w:p>
        </w:tc>
        <w:tc>
          <w:tcPr>
            <w:tcW w:w="1260" w:type="dxa"/>
            <w:vAlign w:val="center"/>
          </w:tcPr>
          <w:p w:rsidR="00032C3B" w:rsidRPr="00C64FB5" w:rsidRDefault="00961886" w:rsidP="00C64FB5">
            <w:r w:rsidRPr="00C64FB5">
              <w:rPr>
                <w:rFonts w:hint="eastAsia"/>
              </w:rPr>
              <w:t>书费（元）</w:t>
            </w:r>
          </w:p>
        </w:tc>
        <w:tc>
          <w:tcPr>
            <w:tcW w:w="1470" w:type="dxa"/>
            <w:vAlign w:val="center"/>
          </w:tcPr>
          <w:p w:rsidR="00032C3B" w:rsidRPr="00C64FB5" w:rsidRDefault="00961886" w:rsidP="00C64FB5">
            <w:r w:rsidRPr="00C64FB5">
              <w:rPr>
                <w:rFonts w:hint="eastAsia"/>
              </w:rPr>
              <w:t>学费（元）</w:t>
            </w:r>
          </w:p>
        </w:tc>
        <w:tc>
          <w:tcPr>
            <w:tcW w:w="1866" w:type="dxa"/>
            <w:vAlign w:val="center"/>
          </w:tcPr>
          <w:p w:rsidR="00032C3B" w:rsidRPr="00C64FB5" w:rsidRDefault="00961886" w:rsidP="00C64FB5">
            <w:r w:rsidRPr="00C64FB5">
              <w:rPr>
                <w:rFonts w:hint="eastAsia"/>
              </w:rPr>
              <w:t>学习方式</w:t>
            </w:r>
          </w:p>
        </w:tc>
      </w:tr>
      <w:tr w:rsidR="00032C3B" w:rsidRPr="00C64FB5" w:rsidTr="00C64FB5">
        <w:trPr>
          <w:trHeight w:val="337"/>
          <w:tblCellSpacing w:w="0" w:type="dxa"/>
        </w:trPr>
        <w:tc>
          <w:tcPr>
            <w:tcW w:w="930" w:type="dxa"/>
            <w:vAlign w:val="center"/>
          </w:tcPr>
          <w:p w:rsidR="00032C3B" w:rsidRPr="00C64FB5" w:rsidRDefault="00961886" w:rsidP="00C64FB5">
            <w:r w:rsidRPr="00C64FB5">
              <w:rPr>
                <w:rFonts w:hint="eastAsia"/>
              </w:rPr>
              <w:t>远程班</w:t>
            </w:r>
          </w:p>
        </w:tc>
        <w:tc>
          <w:tcPr>
            <w:tcW w:w="1110" w:type="dxa"/>
            <w:vAlign w:val="center"/>
          </w:tcPr>
          <w:p w:rsidR="00032C3B" w:rsidRPr="00C64FB5" w:rsidRDefault="00961886" w:rsidP="00C64FB5">
            <w:r w:rsidRPr="00C64FB5">
              <w:rPr>
                <w:rFonts w:hint="eastAsia"/>
              </w:rPr>
              <w:t>两年</w:t>
            </w:r>
          </w:p>
        </w:tc>
        <w:tc>
          <w:tcPr>
            <w:tcW w:w="1440" w:type="dxa"/>
            <w:vAlign w:val="center"/>
          </w:tcPr>
          <w:p w:rsidR="00032C3B" w:rsidRPr="00C64FB5" w:rsidRDefault="00961886" w:rsidP="00C64FB5">
            <w:r w:rsidRPr="00C64FB5">
              <w:rPr>
                <w:rFonts w:hint="eastAsia"/>
              </w:rPr>
              <w:t>100</w:t>
            </w:r>
          </w:p>
        </w:tc>
        <w:tc>
          <w:tcPr>
            <w:tcW w:w="1260" w:type="dxa"/>
            <w:vAlign w:val="center"/>
          </w:tcPr>
          <w:p w:rsidR="00032C3B" w:rsidRPr="00C64FB5" w:rsidRDefault="00961886" w:rsidP="00C64FB5">
            <w:r w:rsidRPr="00C64FB5">
              <w:rPr>
                <w:rFonts w:hint="eastAsia"/>
              </w:rPr>
              <w:t>1000</w:t>
            </w:r>
          </w:p>
        </w:tc>
        <w:tc>
          <w:tcPr>
            <w:tcW w:w="1470" w:type="dxa"/>
            <w:vAlign w:val="center"/>
          </w:tcPr>
          <w:p w:rsidR="00032C3B" w:rsidRPr="00C64FB5" w:rsidRDefault="00961886" w:rsidP="00C64FB5">
            <w:r w:rsidRPr="00C64FB5">
              <w:rPr>
                <w:rFonts w:hint="eastAsia"/>
              </w:rPr>
              <w:t>22000/</w:t>
            </w:r>
            <w:r w:rsidRPr="00C64FB5">
              <w:rPr>
                <w:rFonts w:hint="eastAsia"/>
              </w:rPr>
              <w:t>两年</w:t>
            </w:r>
          </w:p>
        </w:tc>
        <w:tc>
          <w:tcPr>
            <w:tcW w:w="1866" w:type="dxa"/>
            <w:vAlign w:val="center"/>
          </w:tcPr>
          <w:p w:rsidR="00032C3B" w:rsidRPr="00C64FB5" w:rsidRDefault="00961886" w:rsidP="00C64FB5">
            <w:r w:rsidRPr="00C64FB5">
              <w:rPr>
                <w:rFonts w:hint="eastAsia"/>
              </w:rPr>
              <w:t>网络课程</w:t>
            </w:r>
          </w:p>
        </w:tc>
      </w:tr>
      <w:tr w:rsidR="00032C3B" w:rsidRPr="00C64FB5" w:rsidTr="00C64FB5">
        <w:trPr>
          <w:trHeight w:val="439"/>
          <w:tblCellSpacing w:w="0" w:type="dxa"/>
        </w:trPr>
        <w:tc>
          <w:tcPr>
            <w:tcW w:w="930" w:type="dxa"/>
            <w:vAlign w:val="center"/>
          </w:tcPr>
          <w:p w:rsidR="00032C3B" w:rsidRPr="00C64FB5" w:rsidRDefault="00961886" w:rsidP="00C64FB5">
            <w:r w:rsidRPr="00C64FB5">
              <w:rPr>
                <w:rFonts w:hint="eastAsia"/>
              </w:rPr>
              <w:t>北京班</w:t>
            </w:r>
          </w:p>
        </w:tc>
        <w:tc>
          <w:tcPr>
            <w:tcW w:w="1110" w:type="dxa"/>
            <w:vAlign w:val="center"/>
          </w:tcPr>
          <w:p w:rsidR="00032C3B" w:rsidRPr="00C64FB5" w:rsidRDefault="00961886" w:rsidP="00C64FB5">
            <w:r w:rsidRPr="00C64FB5">
              <w:rPr>
                <w:rFonts w:hint="eastAsia"/>
              </w:rPr>
              <w:t>两年</w:t>
            </w:r>
          </w:p>
        </w:tc>
        <w:tc>
          <w:tcPr>
            <w:tcW w:w="1440" w:type="dxa"/>
            <w:vAlign w:val="center"/>
          </w:tcPr>
          <w:p w:rsidR="00032C3B" w:rsidRPr="00C64FB5" w:rsidRDefault="00961886" w:rsidP="00C64FB5">
            <w:r w:rsidRPr="00C64FB5">
              <w:rPr>
                <w:rFonts w:hint="eastAsia"/>
              </w:rPr>
              <w:t>100</w:t>
            </w:r>
          </w:p>
        </w:tc>
        <w:tc>
          <w:tcPr>
            <w:tcW w:w="1260" w:type="dxa"/>
            <w:vAlign w:val="center"/>
          </w:tcPr>
          <w:p w:rsidR="00032C3B" w:rsidRPr="00C64FB5" w:rsidRDefault="00961886" w:rsidP="00C64FB5">
            <w:r w:rsidRPr="00C64FB5">
              <w:rPr>
                <w:rFonts w:hint="eastAsia"/>
              </w:rPr>
              <w:t>1000</w:t>
            </w:r>
          </w:p>
        </w:tc>
        <w:tc>
          <w:tcPr>
            <w:tcW w:w="1470" w:type="dxa"/>
            <w:vAlign w:val="center"/>
          </w:tcPr>
          <w:p w:rsidR="00032C3B" w:rsidRPr="00C64FB5" w:rsidRDefault="00961886" w:rsidP="00C64FB5">
            <w:r w:rsidRPr="00C64FB5">
              <w:rPr>
                <w:rFonts w:hint="eastAsia"/>
              </w:rPr>
              <w:t>22000/</w:t>
            </w:r>
            <w:r w:rsidRPr="00C64FB5">
              <w:rPr>
                <w:rFonts w:hint="eastAsia"/>
              </w:rPr>
              <w:t>两年</w:t>
            </w:r>
          </w:p>
        </w:tc>
        <w:tc>
          <w:tcPr>
            <w:tcW w:w="1866" w:type="dxa"/>
            <w:vAlign w:val="center"/>
          </w:tcPr>
          <w:p w:rsidR="00032C3B" w:rsidRPr="00C64FB5" w:rsidRDefault="00961886" w:rsidP="00C64FB5">
            <w:r w:rsidRPr="00C64FB5">
              <w:rPr>
                <w:rFonts w:hint="eastAsia"/>
              </w:rPr>
              <w:t>面授</w:t>
            </w:r>
            <w:r w:rsidRPr="00C64FB5">
              <w:rPr>
                <w:rFonts w:hint="eastAsia"/>
              </w:rPr>
              <w:t>+</w:t>
            </w:r>
            <w:r w:rsidRPr="00C64FB5">
              <w:rPr>
                <w:rFonts w:hint="eastAsia"/>
              </w:rPr>
              <w:t>网络课程</w:t>
            </w:r>
          </w:p>
        </w:tc>
      </w:tr>
    </w:tbl>
    <w:p w:rsidR="00032C3B" w:rsidRDefault="00032C3B">
      <w:pPr>
        <w:spacing w:line="360" w:lineRule="exact"/>
        <w:jc w:val="center"/>
        <w:rPr>
          <w:rFonts w:asciiTheme="minorEastAsia" w:hAnsiTheme="minorEastAsia" w:cstheme="minorEastAsia"/>
          <w:sz w:val="24"/>
        </w:rPr>
      </w:pPr>
    </w:p>
    <w:p w:rsidR="00032C3B" w:rsidRDefault="00961886">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七、授课师资</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由我校资深教授、博导授课为主，根据教学内容邀请国家部委专家学者兼课或讲座。</w:t>
      </w:r>
    </w:p>
    <w:p w:rsidR="00032C3B" w:rsidRDefault="00032C3B">
      <w:pPr>
        <w:spacing w:line="360" w:lineRule="exact"/>
        <w:rPr>
          <w:rFonts w:asciiTheme="minorEastAsia" w:hAnsiTheme="minorEastAsia" w:cstheme="minorEastAsia"/>
          <w:sz w:val="24"/>
        </w:rPr>
      </w:pPr>
    </w:p>
    <w:p w:rsidR="00032C3B" w:rsidRDefault="00961886">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八、颁发证书</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完成教学计划规定课程者，经学校考试合格后，颁发“中国政法大学同等学力研修班证书”（证书加盖钢印、红印、校长印。）</w:t>
      </w:r>
    </w:p>
    <w:p w:rsidR="00032C3B" w:rsidRDefault="00032C3B">
      <w:pPr>
        <w:spacing w:line="360" w:lineRule="exact"/>
        <w:rPr>
          <w:rFonts w:asciiTheme="minorEastAsia" w:hAnsiTheme="minorEastAsia" w:cstheme="minorEastAsia"/>
          <w:sz w:val="24"/>
        </w:rPr>
      </w:pPr>
    </w:p>
    <w:p w:rsidR="00032C3B" w:rsidRDefault="00961886">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九、申请硕士学位（费用另行收取）</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按照国务院学位委员会（98）54号文件规定，申请硕士学位必须具备的条件：</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（一）申请人须已获得学士学位三年以上。</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（二）在申请学位的专业或相近专业发表有关的科研成果。</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（三）在规定时间内通过中国政法大学组织的同等学力人员申请硕士学位的学位课程考试。</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（四）在规定时间内通过全国统一的同等学力人员申请硕士学位的外语考试和学科综合考试。</w:t>
      </w:r>
    </w:p>
    <w:p w:rsidR="00032C3B" w:rsidRDefault="00961886">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（五）在规定时间内申请并通过硕士学位论文答辩。</w:t>
      </w:r>
    </w:p>
    <w:p w:rsidR="00032C3B" w:rsidRDefault="00032C3B">
      <w:pPr>
        <w:spacing w:line="360" w:lineRule="exact"/>
        <w:rPr>
          <w:rFonts w:asciiTheme="minorEastAsia" w:hAnsiTheme="minorEastAsia" w:cstheme="minorEastAsia"/>
          <w:sz w:val="24"/>
        </w:rPr>
      </w:pPr>
    </w:p>
    <w:p w:rsidR="00F13F1E" w:rsidRDefault="00F13F1E" w:rsidP="00F13F1E">
      <w:pPr>
        <w:jc w:val="center"/>
        <w:rPr>
          <w:sz w:val="36"/>
          <w:szCs w:val="36"/>
        </w:rPr>
      </w:pPr>
      <w:r>
        <w:rPr>
          <w:rFonts w:hint="eastAsia"/>
          <w:sz w:val="36"/>
          <w:szCs w:val="36"/>
        </w:rPr>
        <w:t>招生报名表</w:t>
      </w:r>
    </w:p>
    <w:p w:rsidR="00F13F1E" w:rsidRDefault="00F13F1E" w:rsidP="00F13F1E">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F13F1E" w:rsidTr="007529FB">
        <w:trPr>
          <w:trHeight w:val="456"/>
        </w:trPr>
        <w:tc>
          <w:tcPr>
            <w:tcW w:w="1217" w:type="dxa"/>
          </w:tcPr>
          <w:p w:rsidR="00F13F1E" w:rsidRDefault="00F13F1E" w:rsidP="007529FB">
            <w:pPr>
              <w:jc w:val="left"/>
              <w:rPr>
                <w:szCs w:val="21"/>
              </w:rPr>
            </w:pPr>
            <w:r>
              <w:rPr>
                <w:rFonts w:hint="eastAsia"/>
                <w:szCs w:val="21"/>
              </w:rPr>
              <w:t>课程全名</w:t>
            </w:r>
          </w:p>
        </w:tc>
        <w:tc>
          <w:tcPr>
            <w:tcW w:w="7305" w:type="dxa"/>
            <w:gridSpan w:val="5"/>
          </w:tcPr>
          <w:p w:rsidR="00F13F1E" w:rsidRDefault="00F13F1E" w:rsidP="007529FB">
            <w:pPr>
              <w:jc w:val="left"/>
              <w:rPr>
                <w:szCs w:val="21"/>
              </w:rPr>
            </w:pPr>
          </w:p>
        </w:tc>
      </w:tr>
      <w:tr w:rsidR="00F13F1E" w:rsidTr="007529FB">
        <w:tc>
          <w:tcPr>
            <w:tcW w:w="1217" w:type="dxa"/>
          </w:tcPr>
          <w:p w:rsidR="00F13F1E" w:rsidRDefault="00F13F1E" w:rsidP="007529FB">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F13F1E" w:rsidRDefault="00F13F1E" w:rsidP="007529FB">
            <w:pPr>
              <w:jc w:val="left"/>
              <w:rPr>
                <w:szCs w:val="21"/>
              </w:rPr>
            </w:pPr>
            <w:r w:rsidRPr="00CA1304">
              <w:rPr>
                <w:rFonts w:hint="eastAsia"/>
                <w:szCs w:val="21"/>
              </w:rPr>
              <w:t xml:space="preserve">  </w:t>
            </w:r>
          </w:p>
        </w:tc>
        <w:tc>
          <w:tcPr>
            <w:tcW w:w="1217" w:type="dxa"/>
          </w:tcPr>
          <w:p w:rsidR="00F13F1E" w:rsidRDefault="00F13F1E" w:rsidP="007529FB">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F13F1E" w:rsidRDefault="00F13F1E" w:rsidP="007529FB">
            <w:pPr>
              <w:jc w:val="left"/>
              <w:rPr>
                <w:szCs w:val="21"/>
              </w:rPr>
            </w:pPr>
          </w:p>
        </w:tc>
        <w:tc>
          <w:tcPr>
            <w:tcW w:w="1300" w:type="dxa"/>
          </w:tcPr>
          <w:p w:rsidR="00F13F1E" w:rsidRDefault="00F13F1E" w:rsidP="007529FB">
            <w:pPr>
              <w:jc w:val="left"/>
              <w:rPr>
                <w:szCs w:val="21"/>
              </w:rPr>
            </w:pPr>
            <w:r>
              <w:rPr>
                <w:rFonts w:hint="eastAsia"/>
                <w:szCs w:val="21"/>
              </w:rPr>
              <w:t>出生日期</w:t>
            </w:r>
          </w:p>
        </w:tc>
        <w:tc>
          <w:tcPr>
            <w:tcW w:w="2436" w:type="dxa"/>
          </w:tcPr>
          <w:p w:rsidR="00F13F1E" w:rsidRDefault="00F13F1E" w:rsidP="007529FB">
            <w:pPr>
              <w:jc w:val="left"/>
              <w:rPr>
                <w:szCs w:val="21"/>
              </w:rPr>
            </w:pPr>
          </w:p>
        </w:tc>
      </w:tr>
      <w:tr w:rsidR="00F13F1E" w:rsidTr="007529FB">
        <w:tc>
          <w:tcPr>
            <w:tcW w:w="1217" w:type="dxa"/>
          </w:tcPr>
          <w:p w:rsidR="00F13F1E" w:rsidRDefault="00F13F1E" w:rsidP="007529FB">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F13F1E" w:rsidRDefault="00F13F1E" w:rsidP="007529FB">
            <w:pPr>
              <w:jc w:val="left"/>
              <w:rPr>
                <w:szCs w:val="21"/>
              </w:rPr>
            </w:pPr>
          </w:p>
        </w:tc>
        <w:tc>
          <w:tcPr>
            <w:tcW w:w="1217" w:type="dxa"/>
          </w:tcPr>
          <w:p w:rsidR="00F13F1E" w:rsidRDefault="00F13F1E" w:rsidP="007529FB">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F13F1E" w:rsidRDefault="00F13F1E" w:rsidP="007529FB">
            <w:pPr>
              <w:jc w:val="left"/>
              <w:rPr>
                <w:szCs w:val="21"/>
              </w:rPr>
            </w:pPr>
          </w:p>
        </w:tc>
        <w:tc>
          <w:tcPr>
            <w:tcW w:w="1300" w:type="dxa"/>
          </w:tcPr>
          <w:p w:rsidR="00F13F1E" w:rsidRDefault="00F13F1E" w:rsidP="007529FB">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F13F1E" w:rsidRDefault="00F13F1E" w:rsidP="007529FB">
            <w:pPr>
              <w:jc w:val="left"/>
              <w:rPr>
                <w:szCs w:val="21"/>
              </w:rPr>
            </w:pPr>
          </w:p>
        </w:tc>
      </w:tr>
      <w:tr w:rsidR="00F13F1E" w:rsidTr="007529FB">
        <w:tc>
          <w:tcPr>
            <w:tcW w:w="1217" w:type="dxa"/>
          </w:tcPr>
          <w:p w:rsidR="00F13F1E" w:rsidRDefault="00F13F1E" w:rsidP="007529FB">
            <w:pPr>
              <w:jc w:val="left"/>
              <w:rPr>
                <w:szCs w:val="21"/>
              </w:rPr>
            </w:pPr>
            <w:r>
              <w:rPr>
                <w:rFonts w:hint="eastAsia"/>
                <w:szCs w:val="21"/>
              </w:rPr>
              <w:t>身份证号</w:t>
            </w:r>
          </w:p>
        </w:tc>
        <w:tc>
          <w:tcPr>
            <w:tcW w:w="3569" w:type="dxa"/>
            <w:gridSpan w:val="3"/>
          </w:tcPr>
          <w:p w:rsidR="00F13F1E" w:rsidRDefault="00F13F1E" w:rsidP="007529FB">
            <w:pPr>
              <w:jc w:val="left"/>
              <w:rPr>
                <w:szCs w:val="21"/>
              </w:rPr>
            </w:pPr>
          </w:p>
        </w:tc>
        <w:tc>
          <w:tcPr>
            <w:tcW w:w="1300" w:type="dxa"/>
          </w:tcPr>
          <w:p w:rsidR="00F13F1E" w:rsidRDefault="00F13F1E" w:rsidP="007529FB">
            <w:pPr>
              <w:jc w:val="left"/>
              <w:rPr>
                <w:szCs w:val="21"/>
              </w:rPr>
            </w:pPr>
            <w:r>
              <w:rPr>
                <w:rFonts w:hint="eastAsia"/>
                <w:szCs w:val="21"/>
              </w:rPr>
              <w:t>工作年限</w:t>
            </w:r>
          </w:p>
        </w:tc>
        <w:tc>
          <w:tcPr>
            <w:tcW w:w="2436" w:type="dxa"/>
          </w:tcPr>
          <w:p w:rsidR="00F13F1E" w:rsidRDefault="00F13F1E" w:rsidP="007529FB">
            <w:pPr>
              <w:jc w:val="left"/>
              <w:rPr>
                <w:szCs w:val="21"/>
              </w:rPr>
            </w:pPr>
          </w:p>
        </w:tc>
      </w:tr>
      <w:tr w:rsidR="00F13F1E" w:rsidTr="007529FB">
        <w:tc>
          <w:tcPr>
            <w:tcW w:w="1217" w:type="dxa"/>
            <w:vMerge w:val="restart"/>
          </w:tcPr>
          <w:p w:rsidR="00F13F1E" w:rsidRDefault="00F13F1E" w:rsidP="007529FB">
            <w:pPr>
              <w:jc w:val="left"/>
              <w:rPr>
                <w:szCs w:val="21"/>
              </w:rPr>
            </w:pPr>
            <w:r>
              <w:rPr>
                <w:rFonts w:hint="eastAsia"/>
                <w:szCs w:val="21"/>
              </w:rPr>
              <w:t>教育程度</w:t>
            </w:r>
          </w:p>
        </w:tc>
        <w:tc>
          <w:tcPr>
            <w:tcW w:w="1217" w:type="dxa"/>
          </w:tcPr>
          <w:p w:rsidR="00F13F1E" w:rsidRDefault="00F13F1E" w:rsidP="007529FB">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F13F1E" w:rsidRDefault="00F13F1E" w:rsidP="007529FB">
            <w:pPr>
              <w:jc w:val="left"/>
              <w:rPr>
                <w:szCs w:val="21"/>
              </w:rPr>
            </w:pPr>
          </w:p>
        </w:tc>
        <w:tc>
          <w:tcPr>
            <w:tcW w:w="1300" w:type="dxa"/>
          </w:tcPr>
          <w:p w:rsidR="00F13F1E" w:rsidRDefault="00F13F1E" w:rsidP="007529FB">
            <w:pPr>
              <w:jc w:val="left"/>
              <w:rPr>
                <w:szCs w:val="21"/>
              </w:rPr>
            </w:pPr>
            <w:r>
              <w:rPr>
                <w:rFonts w:hint="eastAsia"/>
                <w:szCs w:val="21"/>
              </w:rPr>
              <w:t>毕业院校</w:t>
            </w:r>
          </w:p>
        </w:tc>
        <w:tc>
          <w:tcPr>
            <w:tcW w:w="2436" w:type="dxa"/>
          </w:tcPr>
          <w:p w:rsidR="00F13F1E" w:rsidRDefault="00F13F1E" w:rsidP="007529FB">
            <w:pPr>
              <w:jc w:val="left"/>
              <w:rPr>
                <w:szCs w:val="21"/>
              </w:rPr>
            </w:pPr>
          </w:p>
        </w:tc>
      </w:tr>
      <w:tr w:rsidR="00F13F1E" w:rsidTr="007529FB">
        <w:tc>
          <w:tcPr>
            <w:tcW w:w="1217" w:type="dxa"/>
            <w:vMerge/>
          </w:tcPr>
          <w:p w:rsidR="00F13F1E" w:rsidRDefault="00F13F1E" w:rsidP="007529FB">
            <w:pPr>
              <w:jc w:val="left"/>
              <w:rPr>
                <w:szCs w:val="21"/>
              </w:rPr>
            </w:pPr>
          </w:p>
        </w:tc>
        <w:tc>
          <w:tcPr>
            <w:tcW w:w="1217" w:type="dxa"/>
          </w:tcPr>
          <w:p w:rsidR="00F13F1E" w:rsidRDefault="00F13F1E" w:rsidP="007529FB">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F13F1E" w:rsidRDefault="00F13F1E" w:rsidP="007529FB">
            <w:pPr>
              <w:jc w:val="left"/>
              <w:rPr>
                <w:szCs w:val="21"/>
              </w:rPr>
            </w:pPr>
          </w:p>
        </w:tc>
        <w:tc>
          <w:tcPr>
            <w:tcW w:w="1300" w:type="dxa"/>
          </w:tcPr>
          <w:p w:rsidR="00F13F1E" w:rsidRDefault="00F13F1E" w:rsidP="007529FB">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F13F1E" w:rsidRDefault="00F13F1E" w:rsidP="007529FB">
            <w:pPr>
              <w:jc w:val="left"/>
              <w:rPr>
                <w:szCs w:val="21"/>
              </w:rPr>
            </w:pPr>
          </w:p>
        </w:tc>
      </w:tr>
      <w:tr w:rsidR="00F13F1E" w:rsidTr="007529FB">
        <w:tc>
          <w:tcPr>
            <w:tcW w:w="1217" w:type="dxa"/>
          </w:tcPr>
          <w:p w:rsidR="00F13F1E" w:rsidRDefault="00F13F1E" w:rsidP="007529FB">
            <w:pPr>
              <w:jc w:val="left"/>
              <w:rPr>
                <w:szCs w:val="21"/>
              </w:rPr>
            </w:pPr>
            <w:r>
              <w:rPr>
                <w:rFonts w:hint="eastAsia"/>
                <w:szCs w:val="21"/>
              </w:rPr>
              <w:t>毕业时间</w:t>
            </w:r>
          </w:p>
        </w:tc>
        <w:tc>
          <w:tcPr>
            <w:tcW w:w="2434" w:type="dxa"/>
            <w:gridSpan w:val="2"/>
          </w:tcPr>
          <w:p w:rsidR="00F13F1E" w:rsidRDefault="00F13F1E" w:rsidP="007529FB">
            <w:pPr>
              <w:jc w:val="left"/>
              <w:rPr>
                <w:szCs w:val="21"/>
              </w:rPr>
            </w:pPr>
          </w:p>
        </w:tc>
        <w:tc>
          <w:tcPr>
            <w:tcW w:w="1135" w:type="dxa"/>
          </w:tcPr>
          <w:p w:rsidR="00F13F1E" w:rsidRDefault="00F13F1E" w:rsidP="007529FB">
            <w:pPr>
              <w:jc w:val="left"/>
              <w:rPr>
                <w:szCs w:val="21"/>
              </w:rPr>
            </w:pPr>
            <w:r>
              <w:rPr>
                <w:rFonts w:hint="eastAsia"/>
                <w:szCs w:val="21"/>
              </w:rPr>
              <w:t>付款方式</w:t>
            </w:r>
          </w:p>
        </w:tc>
        <w:tc>
          <w:tcPr>
            <w:tcW w:w="3736" w:type="dxa"/>
            <w:gridSpan w:val="2"/>
          </w:tcPr>
          <w:p w:rsidR="00F13F1E" w:rsidRDefault="00204611" w:rsidP="007529FB">
            <w:pPr>
              <w:ind w:firstLineChars="150" w:firstLine="315"/>
              <w:jc w:val="left"/>
              <w:rPr>
                <w:szCs w:val="21"/>
              </w:rPr>
            </w:pPr>
            <w:r>
              <w:rPr>
                <w:szCs w:val="21"/>
              </w:rPr>
              <w:pict>
                <v:rect id="_x0000_s2051" style="position:absolute;left:0;text-align:left;margin-left:.65pt;margin-top:2.35pt;width:9.8pt;height:9.75pt;z-index:251656704;mso-position-horizontal-relative:text;mso-position-vertical-relative:text"/>
              </w:pict>
            </w:r>
            <w:r>
              <w:rPr>
                <w:szCs w:val="21"/>
              </w:rPr>
              <w:pict>
                <v:rect id="_x0000_s2050" style="position:absolute;left:0;text-align:left;margin-left:59.95pt;margin-top:2.35pt;width:9.75pt;height:9.75pt;z-index:251657728;mso-position-horizontal-relative:text;mso-position-vertical-relative:text"/>
              </w:pict>
            </w:r>
            <w:r>
              <w:rPr>
                <w:szCs w:val="21"/>
              </w:rPr>
              <w:pict>
                <v:rect id="_x0000_s2052" style="position:absolute;left:0;text-align:left;margin-left:118.4pt;margin-top:2.35pt;width:8.3pt;height:9.75pt;z-index:251658752;mso-position-horizontal-relative:text;mso-position-vertical-relative:text"/>
              </w:pict>
            </w:r>
            <w:r w:rsidR="00F13F1E">
              <w:rPr>
                <w:rFonts w:hint="eastAsia"/>
                <w:szCs w:val="21"/>
              </w:rPr>
              <w:t>银行汇款</w:t>
            </w:r>
            <w:r w:rsidR="00F13F1E">
              <w:rPr>
                <w:rFonts w:hint="eastAsia"/>
                <w:szCs w:val="21"/>
              </w:rPr>
              <w:t xml:space="preserve">   </w:t>
            </w:r>
            <w:r w:rsidR="00F13F1E">
              <w:rPr>
                <w:rFonts w:hint="eastAsia"/>
                <w:szCs w:val="21"/>
              </w:rPr>
              <w:t>现今付款</w:t>
            </w:r>
            <w:r w:rsidR="00F13F1E">
              <w:rPr>
                <w:rFonts w:hint="eastAsia"/>
                <w:szCs w:val="21"/>
              </w:rPr>
              <w:t xml:space="preserve">   </w:t>
            </w:r>
            <w:r w:rsidR="00F13F1E">
              <w:rPr>
                <w:rFonts w:hint="eastAsia"/>
                <w:szCs w:val="21"/>
              </w:rPr>
              <w:t>电子转账</w:t>
            </w:r>
          </w:p>
        </w:tc>
      </w:tr>
      <w:tr w:rsidR="00F13F1E" w:rsidTr="007529FB">
        <w:tc>
          <w:tcPr>
            <w:tcW w:w="1217" w:type="dxa"/>
          </w:tcPr>
          <w:p w:rsidR="00F13F1E" w:rsidRDefault="00F13F1E" w:rsidP="007529FB">
            <w:pPr>
              <w:jc w:val="left"/>
              <w:rPr>
                <w:szCs w:val="21"/>
              </w:rPr>
            </w:pPr>
            <w:r>
              <w:rPr>
                <w:rFonts w:hint="eastAsia"/>
                <w:szCs w:val="21"/>
              </w:rPr>
              <w:t>公司名称</w:t>
            </w:r>
          </w:p>
        </w:tc>
        <w:tc>
          <w:tcPr>
            <w:tcW w:w="7305" w:type="dxa"/>
            <w:gridSpan w:val="5"/>
          </w:tcPr>
          <w:p w:rsidR="00F13F1E" w:rsidRDefault="00F13F1E" w:rsidP="007529FB">
            <w:pPr>
              <w:jc w:val="left"/>
              <w:rPr>
                <w:szCs w:val="21"/>
              </w:rPr>
            </w:pPr>
          </w:p>
        </w:tc>
      </w:tr>
      <w:tr w:rsidR="00F13F1E" w:rsidTr="007529FB">
        <w:tc>
          <w:tcPr>
            <w:tcW w:w="1217" w:type="dxa"/>
          </w:tcPr>
          <w:p w:rsidR="00F13F1E" w:rsidRDefault="00F13F1E" w:rsidP="007529FB">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F13F1E" w:rsidRDefault="00F13F1E" w:rsidP="007529FB">
            <w:pPr>
              <w:jc w:val="left"/>
              <w:rPr>
                <w:szCs w:val="21"/>
              </w:rPr>
            </w:pPr>
          </w:p>
        </w:tc>
        <w:tc>
          <w:tcPr>
            <w:tcW w:w="1300" w:type="dxa"/>
          </w:tcPr>
          <w:p w:rsidR="00F13F1E" w:rsidRDefault="00F13F1E" w:rsidP="007529FB">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F13F1E" w:rsidRDefault="00F13F1E" w:rsidP="007529FB">
            <w:pPr>
              <w:jc w:val="left"/>
              <w:rPr>
                <w:szCs w:val="21"/>
              </w:rPr>
            </w:pPr>
          </w:p>
        </w:tc>
      </w:tr>
      <w:tr w:rsidR="00F13F1E" w:rsidTr="007529FB">
        <w:tc>
          <w:tcPr>
            <w:tcW w:w="1217" w:type="dxa"/>
          </w:tcPr>
          <w:p w:rsidR="00F13F1E" w:rsidRDefault="00F13F1E" w:rsidP="007529FB">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F13F1E" w:rsidRDefault="00F13F1E" w:rsidP="007529FB">
            <w:pPr>
              <w:jc w:val="left"/>
              <w:rPr>
                <w:szCs w:val="21"/>
              </w:rPr>
            </w:pPr>
          </w:p>
        </w:tc>
        <w:tc>
          <w:tcPr>
            <w:tcW w:w="1300" w:type="dxa"/>
          </w:tcPr>
          <w:p w:rsidR="00F13F1E" w:rsidRDefault="00F13F1E" w:rsidP="007529FB">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F13F1E" w:rsidRDefault="00F13F1E" w:rsidP="007529FB">
            <w:pPr>
              <w:jc w:val="left"/>
              <w:rPr>
                <w:szCs w:val="21"/>
              </w:rPr>
            </w:pPr>
          </w:p>
        </w:tc>
      </w:tr>
      <w:tr w:rsidR="00F13F1E" w:rsidTr="007529FB">
        <w:tc>
          <w:tcPr>
            <w:tcW w:w="1217" w:type="dxa"/>
          </w:tcPr>
          <w:p w:rsidR="00F13F1E" w:rsidRDefault="00F13F1E" w:rsidP="007529FB">
            <w:pPr>
              <w:jc w:val="left"/>
              <w:rPr>
                <w:szCs w:val="21"/>
              </w:rPr>
            </w:pPr>
            <w:r>
              <w:rPr>
                <w:rFonts w:hint="eastAsia"/>
                <w:szCs w:val="21"/>
              </w:rPr>
              <w:t>电子邮箱</w:t>
            </w:r>
          </w:p>
        </w:tc>
        <w:tc>
          <w:tcPr>
            <w:tcW w:w="3569" w:type="dxa"/>
            <w:gridSpan w:val="3"/>
          </w:tcPr>
          <w:p w:rsidR="00F13F1E" w:rsidRDefault="00F13F1E" w:rsidP="007529FB">
            <w:pPr>
              <w:jc w:val="left"/>
              <w:rPr>
                <w:szCs w:val="21"/>
              </w:rPr>
            </w:pPr>
          </w:p>
        </w:tc>
        <w:tc>
          <w:tcPr>
            <w:tcW w:w="1300" w:type="dxa"/>
          </w:tcPr>
          <w:p w:rsidR="00F13F1E" w:rsidRDefault="00F13F1E" w:rsidP="007529FB">
            <w:pPr>
              <w:jc w:val="left"/>
              <w:rPr>
                <w:szCs w:val="21"/>
              </w:rPr>
            </w:pPr>
            <w:r>
              <w:rPr>
                <w:rFonts w:hint="eastAsia"/>
                <w:szCs w:val="21"/>
              </w:rPr>
              <w:t>单位性质</w:t>
            </w:r>
          </w:p>
        </w:tc>
        <w:tc>
          <w:tcPr>
            <w:tcW w:w="2436" w:type="dxa"/>
          </w:tcPr>
          <w:p w:rsidR="00F13F1E" w:rsidRDefault="00F13F1E" w:rsidP="007529FB">
            <w:pPr>
              <w:jc w:val="left"/>
              <w:rPr>
                <w:szCs w:val="21"/>
              </w:rPr>
            </w:pPr>
          </w:p>
        </w:tc>
      </w:tr>
      <w:tr w:rsidR="00F13F1E" w:rsidTr="007529FB">
        <w:tc>
          <w:tcPr>
            <w:tcW w:w="1217" w:type="dxa"/>
          </w:tcPr>
          <w:p w:rsidR="00F13F1E" w:rsidRDefault="00F13F1E" w:rsidP="007529FB">
            <w:pPr>
              <w:jc w:val="left"/>
              <w:rPr>
                <w:szCs w:val="21"/>
              </w:rPr>
            </w:pPr>
            <w:r>
              <w:rPr>
                <w:rFonts w:hint="eastAsia"/>
                <w:szCs w:val="21"/>
              </w:rPr>
              <w:t>通信地址</w:t>
            </w:r>
          </w:p>
        </w:tc>
        <w:tc>
          <w:tcPr>
            <w:tcW w:w="7305" w:type="dxa"/>
            <w:gridSpan w:val="5"/>
          </w:tcPr>
          <w:p w:rsidR="00F13F1E" w:rsidRDefault="00F13F1E" w:rsidP="007529FB">
            <w:pPr>
              <w:jc w:val="left"/>
              <w:rPr>
                <w:szCs w:val="21"/>
              </w:rPr>
            </w:pPr>
          </w:p>
        </w:tc>
      </w:tr>
      <w:tr w:rsidR="00F13F1E" w:rsidTr="007529FB">
        <w:tc>
          <w:tcPr>
            <w:tcW w:w="8522" w:type="dxa"/>
            <w:gridSpan w:val="6"/>
          </w:tcPr>
          <w:p w:rsidR="00F13F1E" w:rsidRDefault="00F13F1E" w:rsidP="007529FB">
            <w:pPr>
              <w:jc w:val="left"/>
              <w:rPr>
                <w:szCs w:val="21"/>
              </w:rPr>
            </w:pPr>
            <w:r>
              <w:rPr>
                <w:rFonts w:hint="eastAsia"/>
                <w:szCs w:val="21"/>
              </w:rPr>
              <w:t>工作简历</w:t>
            </w:r>
          </w:p>
        </w:tc>
      </w:tr>
      <w:tr w:rsidR="00F13F1E" w:rsidTr="007529FB">
        <w:trPr>
          <w:trHeight w:val="2425"/>
        </w:trPr>
        <w:tc>
          <w:tcPr>
            <w:tcW w:w="8522" w:type="dxa"/>
            <w:gridSpan w:val="6"/>
          </w:tcPr>
          <w:p w:rsidR="00F13F1E" w:rsidRDefault="00F13F1E" w:rsidP="007529FB">
            <w:pPr>
              <w:jc w:val="left"/>
              <w:rPr>
                <w:szCs w:val="21"/>
              </w:rPr>
            </w:pPr>
          </w:p>
        </w:tc>
      </w:tr>
      <w:tr w:rsidR="00F13F1E" w:rsidTr="007529FB">
        <w:tc>
          <w:tcPr>
            <w:tcW w:w="8522" w:type="dxa"/>
            <w:gridSpan w:val="6"/>
          </w:tcPr>
          <w:p w:rsidR="00F13F1E" w:rsidRDefault="00F13F1E" w:rsidP="007529FB">
            <w:pPr>
              <w:jc w:val="left"/>
              <w:rPr>
                <w:szCs w:val="21"/>
              </w:rPr>
            </w:pPr>
            <w:r>
              <w:rPr>
                <w:rFonts w:hint="eastAsia"/>
                <w:szCs w:val="21"/>
              </w:rPr>
              <w:t>学习建议</w:t>
            </w:r>
          </w:p>
        </w:tc>
      </w:tr>
    </w:tbl>
    <w:p w:rsidR="00F13F1E" w:rsidRDefault="00F13F1E" w:rsidP="00F13F1E">
      <w:pPr>
        <w:jc w:val="left"/>
        <w:rPr>
          <w:szCs w:val="21"/>
        </w:rPr>
      </w:pPr>
    </w:p>
    <w:p w:rsidR="00F13F1E" w:rsidRDefault="00F13F1E" w:rsidP="00F13F1E">
      <w:pPr>
        <w:jc w:val="left"/>
        <w:rPr>
          <w:szCs w:val="21"/>
        </w:rPr>
      </w:pPr>
    </w:p>
    <w:p w:rsidR="00F13F1E" w:rsidRDefault="00F13F1E" w:rsidP="00F13F1E">
      <w:pPr>
        <w:spacing w:line="360" w:lineRule="exact"/>
        <w:ind w:firstLineChars="200" w:firstLine="480"/>
        <w:rPr>
          <w:rFonts w:asciiTheme="minorEastAsia" w:hAnsiTheme="minorEastAsia" w:cstheme="minorEastAsia"/>
          <w:sz w:val="24"/>
        </w:rPr>
      </w:pPr>
    </w:p>
    <w:p w:rsidR="00032C3B" w:rsidRDefault="00032C3B"/>
    <w:sectPr w:rsidR="00032C3B" w:rsidSect="00032C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9F3" w:rsidRDefault="005769F3" w:rsidP="00F13F1E">
      <w:r>
        <w:separator/>
      </w:r>
    </w:p>
  </w:endnote>
  <w:endnote w:type="continuationSeparator" w:id="0">
    <w:p w:rsidR="005769F3" w:rsidRDefault="005769F3" w:rsidP="00F13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9F3" w:rsidRDefault="005769F3" w:rsidP="00F13F1E">
      <w:r>
        <w:separator/>
      </w:r>
    </w:p>
  </w:footnote>
  <w:footnote w:type="continuationSeparator" w:id="0">
    <w:p w:rsidR="005769F3" w:rsidRDefault="005769F3" w:rsidP="00F13F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19217FC"/>
    <w:rsid w:val="00032C3B"/>
    <w:rsid w:val="00204611"/>
    <w:rsid w:val="005769F3"/>
    <w:rsid w:val="00961886"/>
    <w:rsid w:val="00C64FB5"/>
    <w:rsid w:val="00F13F1E"/>
    <w:rsid w:val="019217FC"/>
    <w:rsid w:val="25D755AD"/>
    <w:rsid w:val="4F995A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2C3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2C3B"/>
    <w:rPr>
      <w:color w:val="0000FF"/>
      <w:u w:val="single"/>
    </w:rPr>
  </w:style>
  <w:style w:type="table" w:styleId="a4">
    <w:name w:val="Table Grid"/>
    <w:basedOn w:val="a1"/>
    <w:rsid w:val="00032C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F13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13F1E"/>
    <w:rPr>
      <w:rFonts w:asciiTheme="minorHAnsi" w:eastAsiaTheme="minorEastAsia" w:hAnsiTheme="minorHAnsi" w:cstheme="minorBidi"/>
      <w:kern w:val="2"/>
      <w:sz w:val="18"/>
      <w:szCs w:val="18"/>
    </w:rPr>
  </w:style>
  <w:style w:type="paragraph" w:styleId="a6">
    <w:name w:val="footer"/>
    <w:basedOn w:val="a"/>
    <w:link w:val="Char0"/>
    <w:rsid w:val="00F13F1E"/>
    <w:pPr>
      <w:tabs>
        <w:tab w:val="center" w:pos="4153"/>
        <w:tab w:val="right" w:pos="8306"/>
      </w:tabs>
      <w:snapToGrid w:val="0"/>
      <w:jc w:val="left"/>
    </w:pPr>
    <w:rPr>
      <w:sz w:val="18"/>
      <w:szCs w:val="18"/>
    </w:rPr>
  </w:style>
  <w:style w:type="character" w:customStyle="1" w:styleId="Char0">
    <w:name w:val="页脚 Char"/>
    <w:basedOn w:val="a0"/>
    <w:link w:val="a6"/>
    <w:rsid w:val="00F13F1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9943062-10290527.html" TargetMode="External"/><Relationship Id="rId3" Type="http://schemas.openxmlformats.org/officeDocument/2006/relationships/settings" Target="settings.xml"/><Relationship Id="rId7" Type="http://schemas.openxmlformats.org/officeDocument/2006/relationships/hyperlink" Target="https://baike.so.com/doc/4847662-506477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2018-02-07T02:57:00Z</dcterms:created>
  <dcterms:modified xsi:type="dcterms:W3CDTF">2018-06-20T08:08:00Z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