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南昌大学经济管理学院技术经济及管理专业</w:t>
      </w:r>
    </w:p>
    <w:p>
      <w:pPr>
        <w:spacing w:line="360" w:lineRule="auto"/>
        <w:jc w:val="center"/>
        <w:rPr>
          <w:rFonts w:hint="eastAsia" w:ascii="宋体" w:hAnsi="宋体" w:eastAsia="宋体" w:cs="宋体"/>
          <w:szCs w:val="21"/>
          <w:lang w:eastAsia="zh-CN"/>
        </w:rPr>
      </w:pPr>
      <w:r>
        <w:rPr>
          <w:rFonts w:hint="eastAsia" w:ascii="宋体" w:hAnsi="宋体" w:eastAsia="宋体" w:cs="宋体"/>
          <w:b/>
          <w:bCs/>
          <w:sz w:val="28"/>
          <w:szCs w:val="28"/>
        </w:rPr>
        <w:t>同等学力申硕招生简章·</w:t>
      </w:r>
      <w:r>
        <w:rPr>
          <w:rFonts w:hint="eastAsia" w:ascii="宋体" w:hAnsi="宋体" w:eastAsia="宋体" w:cs="宋体"/>
          <w:b/>
          <w:bCs/>
          <w:sz w:val="28"/>
          <w:szCs w:val="28"/>
          <w:lang w:eastAsia="zh-CN"/>
        </w:rPr>
        <w:t>全国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经济管理学院是集经济、贸易、管理、旅游于一体的文理渗透的综合性学院。学院有教育部重点人文社会科学研究基地—南昌大学中国中部经济社会发展研究中心、省级协同创新基地-南昌大学江西发展升级推进长江经济带建设协同创新中心、省高校人文社会科学重点研究基地-南昌大学旅游规划与研究中心、省社会科学咨询决策研究基地-江西产业经济研究所4个研究平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技术经济及管理专业将技术经济学与管理学相结合，从经济学角度进行研究，对在一定社会条件下的社会再生产过程中即将采用的各种“技术性”措施和“技术性”方案的经济效果进行论证分析的学科，并以经济社会中的技术经济，项目投资、金融及风险评估活动为研究对象。</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为适应社会发展和经济建设的需要，提高教育、科技、管理等方面专业人员的素质，多渠道地促进技术经济及管理专业人才培养，经国务院学位委员会批准，特在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地区开展以研究生毕业技术经济及管理专业同等学力申请硕士学位招生及培养工作。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1、技术经济及管理专业是培养具备扎实产业经济分析、可行性研究、技术创新管理、项目管理、运营管理、财务管理等专长，具有较强的经济研判与项目管理能力的人才；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2、学员可从事政府与企事业单位中高层管理，包括战略管理、财务管理、信息管理、技术研发、技术创新、项目管理等高素质经济管理等工作。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【学费性价比高】南昌大学经济与管理学院同等学力申硕费用低于同类高等院校1-2万元；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经典著作选读 </w:t>
            </w:r>
            <w:r>
              <w:rPr>
                <w:rFonts w:ascii="宋体" w:hAnsi="宋体" w:eastAsia="宋体" w:cs="宋体"/>
                <w:szCs w:val="21"/>
              </w:rPr>
              <w:t xml:space="preserve">          </w:t>
            </w:r>
            <w:r>
              <w:rPr>
                <w:rFonts w:hint="eastAsia" w:ascii="宋体" w:hAnsi="宋体" w:eastAsia="宋体" w:cs="宋体"/>
                <w:szCs w:val="21"/>
              </w:rPr>
              <w:t>科学社会主义理论与实践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项目管理 </w:t>
            </w:r>
            <w:r>
              <w:rPr>
                <w:rFonts w:ascii="宋体" w:hAnsi="宋体" w:eastAsia="宋体" w:cs="宋体"/>
                <w:szCs w:val="21"/>
              </w:rPr>
              <w:t xml:space="preserve">      </w:t>
            </w:r>
            <w:r>
              <w:rPr>
                <w:rFonts w:hint="eastAsia" w:ascii="宋体" w:hAnsi="宋体" w:eastAsia="宋体" w:cs="宋体"/>
                <w:szCs w:val="21"/>
              </w:rPr>
              <w:t xml:space="preserve">微观经济学 </w:t>
            </w:r>
            <w:r>
              <w:rPr>
                <w:rFonts w:ascii="宋体" w:hAnsi="宋体" w:eastAsia="宋体" w:cs="宋体"/>
                <w:szCs w:val="21"/>
              </w:rPr>
              <w:t xml:space="preserve">    </w:t>
            </w:r>
            <w:r>
              <w:rPr>
                <w:rFonts w:hint="eastAsia" w:ascii="宋体" w:hAnsi="宋体" w:eastAsia="宋体" w:cs="宋体"/>
                <w:szCs w:val="21"/>
              </w:rPr>
              <w:t xml:space="preserve">现代管理学 </w:t>
            </w:r>
            <w:r>
              <w:rPr>
                <w:rFonts w:ascii="宋体" w:hAnsi="宋体" w:eastAsia="宋体" w:cs="宋体"/>
                <w:szCs w:val="21"/>
              </w:rPr>
              <w:t xml:space="preserve">    </w:t>
            </w:r>
            <w:r>
              <w:rPr>
                <w:rFonts w:hint="eastAsia" w:ascii="宋体" w:hAnsi="宋体" w:eastAsia="宋体" w:cs="宋体"/>
                <w:szCs w:val="21"/>
              </w:rPr>
              <w:t xml:space="preserve">营销战略管理 </w:t>
            </w:r>
            <w:r>
              <w:rPr>
                <w:rFonts w:ascii="宋体" w:hAnsi="宋体" w:eastAsia="宋体" w:cs="宋体"/>
                <w:szCs w:val="21"/>
              </w:rPr>
              <w:t xml:space="preserve">    </w:t>
            </w:r>
            <w:r>
              <w:rPr>
                <w:rFonts w:hint="eastAsia" w:ascii="宋体" w:hAnsi="宋体" w:eastAsia="宋体" w:cs="宋体"/>
                <w:szCs w:val="21"/>
              </w:rPr>
              <w:t xml:space="preserve">电子商务 </w:t>
            </w:r>
            <w:r>
              <w:rPr>
                <w:rFonts w:ascii="宋体" w:hAnsi="宋体" w:eastAsia="宋体" w:cs="宋体"/>
                <w:szCs w:val="21"/>
              </w:rPr>
              <w:t xml:space="preserve">     </w:t>
            </w:r>
            <w:r>
              <w:rPr>
                <w:rFonts w:hint="eastAsia" w:ascii="宋体" w:hAnsi="宋体" w:eastAsia="宋体" w:cs="宋体"/>
                <w:szCs w:val="21"/>
              </w:rPr>
              <w:t xml:space="preserve">技术经济学 </w:t>
            </w:r>
            <w:r>
              <w:rPr>
                <w:rFonts w:ascii="宋体" w:hAnsi="宋体" w:eastAsia="宋体" w:cs="宋体"/>
                <w:szCs w:val="21"/>
              </w:rPr>
              <w:t xml:space="preserve">      </w:t>
            </w:r>
            <w:r>
              <w:rPr>
                <w:rFonts w:hint="eastAsia" w:ascii="宋体" w:hAnsi="宋体" w:eastAsia="宋体" w:cs="宋体"/>
                <w:szCs w:val="21"/>
              </w:rPr>
              <w:t xml:space="preserve">网络营销 </w:t>
            </w:r>
            <w:r>
              <w:rPr>
                <w:rFonts w:ascii="宋体" w:hAnsi="宋体" w:eastAsia="宋体" w:cs="宋体"/>
                <w:szCs w:val="21"/>
              </w:rPr>
              <w:t xml:space="preserve">     </w:t>
            </w:r>
            <w:r>
              <w:rPr>
                <w:rFonts w:hint="eastAsia" w:ascii="宋体" w:hAnsi="宋体" w:eastAsia="宋体" w:cs="宋体"/>
                <w:szCs w:val="21"/>
              </w:rPr>
              <w:t>技术创新管理</w:t>
            </w:r>
          </w:p>
          <w:p>
            <w:pPr>
              <w:spacing w:line="360" w:lineRule="auto"/>
              <w:rPr>
                <w:rFonts w:ascii="宋体" w:hAnsi="宋体" w:eastAsia="宋体" w:cs="宋体"/>
                <w:szCs w:val="21"/>
              </w:rPr>
            </w:pPr>
            <w:r>
              <w:rPr>
                <w:rFonts w:hint="eastAsia" w:ascii="宋体" w:hAnsi="宋体" w:eastAsia="宋体" w:cs="宋体"/>
                <w:szCs w:val="21"/>
              </w:rPr>
              <w:t xml:space="preserve">供应链管理 </w:t>
            </w:r>
            <w:r>
              <w:rPr>
                <w:rFonts w:ascii="宋体" w:hAnsi="宋体" w:eastAsia="宋体" w:cs="宋体"/>
                <w:szCs w:val="21"/>
              </w:rPr>
              <w:t xml:space="preserve">   </w:t>
            </w:r>
            <w:r>
              <w:rPr>
                <w:rFonts w:hint="eastAsia" w:ascii="宋体" w:hAnsi="宋体" w:eastAsia="宋体" w:cs="宋体"/>
                <w:szCs w:val="21"/>
              </w:rPr>
              <w:t xml:space="preserve">管理信息系统 </w:t>
            </w:r>
            <w:r>
              <w:rPr>
                <w:rFonts w:ascii="宋体" w:hAnsi="宋体" w:eastAsia="宋体" w:cs="宋体"/>
                <w:szCs w:val="21"/>
              </w:rPr>
              <w:t xml:space="preserve">  </w:t>
            </w:r>
            <w:r>
              <w:rPr>
                <w:rFonts w:hint="eastAsia" w:ascii="宋体" w:hAnsi="宋体" w:eastAsia="宋体" w:cs="宋体"/>
                <w:szCs w:val="21"/>
              </w:rPr>
              <w:t xml:space="preserve"> 企业战略管理</w:t>
            </w:r>
            <w:r>
              <w:rPr>
                <w:rFonts w:ascii="宋体" w:hAnsi="宋体" w:eastAsia="宋体" w:cs="宋体"/>
                <w:szCs w:val="21"/>
              </w:rPr>
              <w:t xml:space="preserve">   </w:t>
            </w:r>
            <w:r>
              <w:rPr>
                <w:rFonts w:hint="eastAsia" w:ascii="宋体" w:hAnsi="宋体" w:eastAsia="宋体" w:cs="宋体"/>
                <w:szCs w:val="21"/>
              </w:rPr>
              <w:t>企业运营管理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技术经济评价与分析 </w:t>
            </w:r>
            <w:r>
              <w:rPr>
                <w:rFonts w:ascii="宋体" w:hAnsi="宋体" w:eastAsia="宋体" w:cs="宋体"/>
                <w:szCs w:val="21"/>
              </w:rPr>
              <w:t xml:space="preserve">           </w:t>
            </w:r>
            <w:r>
              <w:rPr>
                <w:rFonts w:hint="eastAsia" w:ascii="宋体" w:hAnsi="宋体" w:eastAsia="宋体" w:cs="宋体"/>
                <w:szCs w:val="21"/>
              </w:rPr>
              <w:t>电子商务与网络营销</w:t>
            </w:r>
          </w:p>
          <w:p>
            <w:pPr>
              <w:spacing w:line="360" w:lineRule="auto"/>
              <w:rPr>
                <w:rFonts w:ascii="宋体" w:hAnsi="宋体" w:eastAsia="宋体" w:cs="宋体"/>
                <w:szCs w:val="21"/>
              </w:rPr>
            </w:pPr>
            <w:r>
              <w:rPr>
                <w:rFonts w:hint="eastAsia" w:ascii="宋体" w:hAnsi="宋体" w:eastAsia="宋体" w:cs="宋体"/>
                <w:szCs w:val="21"/>
              </w:rPr>
              <w:t xml:space="preserve">技术创新与战略管理 </w:t>
            </w:r>
            <w:r>
              <w:rPr>
                <w:rFonts w:ascii="宋体" w:hAnsi="宋体" w:eastAsia="宋体" w:cs="宋体"/>
                <w:szCs w:val="21"/>
              </w:rPr>
              <w:t xml:space="preserve">           </w:t>
            </w:r>
            <w:r>
              <w:rPr>
                <w:rFonts w:hint="eastAsia" w:ascii="宋体" w:hAnsi="宋体" w:eastAsia="宋体" w:cs="宋体"/>
                <w:szCs w:val="21"/>
              </w:rPr>
              <w:t>项目投融资分析与评估</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3</w:t>
      </w:r>
      <w:r>
        <w:rPr>
          <w:rFonts w:hint="eastAsia" w:ascii="宋体" w:hAnsi="宋体" w:eastAsia="宋体" w:cs="宋体"/>
          <w:szCs w:val="21"/>
        </w:rPr>
        <w:t>0000元。</w:t>
      </w:r>
    </w:p>
    <w:p>
      <w:pPr>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jc w:val="left"/>
        <w:rPr>
          <w:rFonts w:ascii="宋体" w:hAnsi="宋体" w:eastAsia="宋体" w:cs="宋体"/>
          <w:b/>
          <w:bCs/>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十、联系方式</w:t>
      </w:r>
    </w:p>
    <w:p>
      <w:pPr>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rPr>
        <w:t>南昌大学</w:t>
      </w: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35C53"/>
    <w:rsid w:val="0007096E"/>
    <w:rsid w:val="00136263"/>
    <w:rsid w:val="00140EC2"/>
    <w:rsid w:val="00152DC9"/>
    <w:rsid w:val="001B3E26"/>
    <w:rsid w:val="001C2994"/>
    <w:rsid w:val="001F6885"/>
    <w:rsid w:val="001F7EBA"/>
    <w:rsid w:val="00234EBB"/>
    <w:rsid w:val="00285AF4"/>
    <w:rsid w:val="003425EB"/>
    <w:rsid w:val="00486098"/>
    <w:rsid w:val="004A14EE"/>
    <w:rsid w:val="004E241E"/>
    <w:rsid w:val="004F07D4"/>
    <w:rsid w:val="005056A3"/>
    <w:rsid w:val="00584012"/>
    <w:rsid w:val="00587118"/>
    <w:rsid w:val="005A6F00"/>
    <w:rsid w:val="005E0C6E"/>
    <w:rsid w:val="00671666"/>
    <w:rsid w:val="00682AF5"/>
    <w:rsid w:val="006A169E"/>
    <w:rsid w:val="006A5221"/>
    <w:rsid w:val="006B6A38"/>
    <w:rsid w:val="006F281F"/>
    <w:rsid w:val="007102F3"/>
    <w:rsid w:val="00884C1A"/>
    <w:rsid w:val="00891D74"/>
    <w:rsid w:val="008D118B"/>
    <w:rsid w:val="00977021"/>
    <w:rsid w:val="009E6B29"/>
    <w:rsid w:val="009F4F2E"/>
    <w:rsid w:val="00A11338"/>
    <w:rsid w:val="00A6393D"/>
    <w:rsid w:val="00AF246F"/>
    <w:rsid w:val="00B22CBD"/>
    <w:rsid w:val="00B711C0"/>
    <w:rsid w:val="00B72854"/>
    <w:rsid w:val="00B94731"/>
    <w:rsid w:val="00D6333E"/>
    <w:rsid w:val="00DB6EB5"/>
    <w:rsid w:val="00DC3D1B"/>
    <w:rsid w:val="00E94A6C"/>
    <w:rsid w:val="00EB4472"/>
    <w:rsid w:val="00EF33F6"/>
    <w:rsid w:val="00F156EA"/>
    <w:rsid w:val="00F87A3B"/>
    <w:rsid w:val="00FF2E57"/>
    <w:rsid w:val="26570E06"/>
    <w:rsid w:val="2D650101"/>
    <w:rsid w:val="2F3D7067"/>
    <w:rsid w:val="45A70E49"/>
    <w:rsid w:val="536424B5"/>
    <w:rsid w:val="5499793B"/>
    <w:rsid w:val="62046F40"/>
    <w:rsid w:val="667E7C12"/>
    <w:rsid w:val="67542023"/>
    <w:rsid w:val="6D535020"/>
    <w:rsid w:val="720E335B"/>
    <w:rsid w:val="79CD246B"/>
    <w:rsid w:val="7CE1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313</Words>
  <Characters>1787</Characters>
  <Lines>14</Lines>
  <Paragraphs>4</Paragraphs>
  <TotalTime>1</TotalTime>
  <ScaleCrop>false</ScaleCrop>
  <LinksUpToDate>false</LinksUpToDate>
  <CharactersWithSpaces>2096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pc</cp:lastModifiedBy>
  <dcterms:modified xsi:type="dcterms:W3CDTF">2019-04-28T08:57:17Z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