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24"/>
        </w:rPr>
      </w:pPr>
      <w:r>
        <w:rPr>
          <w:rFonts w:hint="eastAsia" w:ascii="宋体" w:hAnsi="宋体" w:eastAsia="宋体" w:cs="宋体"/>
          <w:b/>
          <w:bCs/>
          <w:sz w:val="24"/>
        </w:rPr>
        <w:drawing>
          <wp:anchor distT="0" distB="0" distL="114300" distR="114300" simplePos="0" relativeHeight="251658240" behindDoc="1" locked="0" layoutInCell="1" allowOverlap="1">
            <wp:simplePos x="0" y="0"/>
            <wp:positionH relativeFrom="column">
              <wp:posOffset>1450975</wp:posOffset>
            </wp:positionH>
            <wp:positionV relativeFrom="paragraph">
              <wp:posOffset>-170815</wp:posOffset>
            </wp:positionV>
            <wp:extent cx="2286000" cy="723900"/>
            <wp:effectExtent l="0" t="0" r="0" b="0"/>
            <wp:wrapTight wrapText="bothSides">
              <wp:wrapPolygon>
                <wp:start x="2520" y="0"/>
                <wp:lineTo x="1440" y="1705"/>
                <wp:lineTo x="0" y="6821"/>
                <wp:lineTo x="0" y="11368"/>
                <wp:lineTo x="720" y="18189"/>
                <wp:lineTo x="2340" y="21032"/>
                <wp:lineTo x="2520" y="21032"/>
                <wp:lineTo x="4680" y="21032"/>
                <wp:lineTo x="6480" y="21032"/>
                <wp:lineTo x="21240" y="18758"/>
                <wp:lineTo x="21420" y="15916"/>
                <wp:lineTo x="20700" y="9095"/>
                <wp:lineTo x="21420" y="6821"/>
                <wp:lineTo x="21240" y="2274"/>
                <wp:lineTo x="4680" y="0"/>
                <wp:lineTo x="2520" y="0"/>
              </wp:wrapPolygon>
            </wp:wrapTight>
            <wp:docPr id="1" name="图片 1"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大学"/>
                    <pic:cNvPicPr>
                      <a:picLocks noChangeAspect="1"/>
                    </pic:cNvPicPr>
                  </pic:nvPicPr>
                  <pic:blipFill>
                    <a:blip r:embed="rId5"/>
                    <a:stretch>
                      <a:fillRect/>
                    </a:stretch>
                  </pic:blipFill>
                  <pic:spPr>
                    <a:xfrm>
                      <a:off x="0" y="0"/>
                      <a:ext cx="2286000" cy="723900"/>
                    </a:xfrm>
                    <a:prstGeom prst="rect">
                      <a:avLst/>
                    </a:prstGeom>
                  </pic:spPr>
                </pic:pic>
              </a:graphicData>
            </a:graphic>
          </wp:anchor>
        </w:drawing>
      </w:r>
    </w:p>
    <w:p>
      <w:pPr>
        <w:spacing w:line="360" w:lineRule="auto"/>
        <w:jc w:val="center"/>
        <w:rPr>
          <w:rFonts w:ascii="宋体" w:hAnsi="宋体" w:eastAsia="宋体" w:cs="宋体"/>
          <w:b/>
          <w:bCs/>
          <w:sz w:val="24"/>
        </w:rPr>
      </w:pPr>
    </w:p>
    <w:p>
      <w:pPr>
        <w:spacing w:line="360" w:lineRule="auto"/>
        <w:jc w:val="center"/>
        <w:rPr>
          <w:rFonts w:ascii="宋体" w:hAnsi="宋体" w:eastAsia="宋体" w:cs="宋体"/>
          <w:b/>
          <w:bCs/>
          <w:sz w:val="24"/>
        </w:rPr>
      </w:pPr>
      <w:r>
        <w:rPr>
          <w:rFonts w:hint="eastAsia" w:ascii="宋体" w:hAnsi="宋体" w:eastAsia="宋体" w:cs="宋体"/>
          <w:b/>
          <w:bCs/>
          <w:sz w:val="24"/>
        </w:rPr>
        <w:t>南昌大学法学院法律史专业</w:t>
      </w:r>
    </w:p>
    <w:p>
      <w:pPr>
        <w:spacing w:line="360" w:lineRule="auto"/>
        <w:jc w:val="center"/>
        <w:rPr>
          <w:rFonts w:hint="eastAsia" w:ascii="宋体" w:hAnsi="宋体" w:eastAsia="宋体" w:cs="宋体"/>
          <w:color w:val="C00000"/>
          <w:szCs w:val="21"/>
          <w:lang w:eastAsia="zh-CN"/>
        </w:rPr>
      </w:pPr>
      <w:r>
        <w:rPr>
          <w:rFonts w:hint="eastAsia" w:ascii="宋体" w:hAnsi="宋体" w:eastAsia="宋体" w:cs="宋体"/>
          <w:b/>
          <w:bCs/>
          <w:sz w:val="24"/>
        </w:rPr>
        <w:t>同等学力申请硕士学位招生简章·</w:t>
      </w:r>
      <w:r>
        <w:rPr>
          <w:rFonts w:hint="eastAsia" w:ascii="宋体" w:hAnsi="宋体" w:eastAsia="宋体" w:cs="宋体"/>
          <w:b/>
          <w:bCs/>
          <w:sz w:val="24"/>
          <w:lang w:eastAsia="zh-CN"/>
        </w:rPr>
        <w:t>全国</w:t>
      </w:r>
    </w:p>
    <w:p>
      <w:pPr>
        <w:spacing w:line="360" w:lineRule="auto"/>
        <w:ind w:firstLine="420" w:firstLineChars="200"/>
        <w:rPr>
          <w:rFonts w:ascii="宋体" w:hAnsi="宋体" w:eastAsia="宋体" w:cs="宋体"/>
          <w:szCs w:val="21"/>
        </w:rPr>
      </w:pPr>
      <w:r>
        <w:rPr>
          <w:rFonts w:hint="eastAsia" w:ascii="宋体" w:hAnsi="宋体" w:eastAsia="宋体" w:cs="宋体"/>
          <w:szCs w:val="21"/>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pPr>
        <w:spacing w:line="360" w:lineRule="auto"/>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一、专业简述</w:t>
      </w:r>
    </w:p>
    <w:p>
      <w:pPr>
        <w:spacing w:line="360" w:lineRule="auto"/>
        <w:ind w:firstLine="420" w:firstLineChars="200"/>
        <w:rPr>
          <w:rFonts w:ascii="宋体" w:hAnsi="宋体" w:eastAsia="宋体" w:cs="宋体"/>
          <w:szCs w:val="21"/>
        </w:rPr>
      </w:pPr>
      <w:r>
        <w:rPr>
          <w:rFonts w:hint="eastAsia" w:ascii="宋体" w:hAnsi="宋体" w:eastAsia="宋体" w:cs="宋体"/>
          <w:szCs w:val="21"/>
        </w:rPr>
        <w:t>南昌大学法学院拥有1个社会治理与法治系统工程二级学科博士学位授权点、1个法学一级学科硕士学位授权点、非法学、法学2个法律硕士专业学位授权点、1个江西省品牌专业法学专业、刑法学、行政法与行政诉讼法学、刑事诉讼法学3门江西省优质课程。</w:t>
      </w:r>
    </w:p>
    <w:p>
      <w:pPr>
        <w:spacing w:line="360" w:lineRule="auto"/>
        <w:ind w:firstLine="420" w:firstLineChars="200"/>
        <w:rPr>
          <w:rFonts w:ascii="宋体" w:hAnsi="宋体" w:eastAsia="宋体" w:cs="宋体"/>
          <w:szCs w:val="21"/>
        </w:rPr>
      </w:pPr>
      <w:r>
        <w:rPr>
          <w:rFonts w:hint="eastAsia" w:ascii="宋体" w:hAnsi="宋体" w:eastAsia="宋体" w:cs="宋体"/>
          <w:szCs w:val="21"/>
        </w:rPr>
        <w:t>法律史是法学领域内的一个重要基础学科，属于法学二级学科。法律史专业的研究方向有中国法制史、外国法制史、中国法律思想史、西方法律思想史、比较法律文化等。</w:t>
      </w:r>
    </w:p>
    <w:p>
      <w:pPr>
        <w:spacing w:line="360" w:lineRule="auto"/>
        <w:ind w:firstLine="420" w:firstLineChars="200"/>
        <w:rPr>
          <w:rFonts w:ascii="宋体" w:hAnsi="宋体" w:eastAsia="宋体" w:cs="宋体"/>
          <w:szCs w:val="21"/>
        </w:rPr>
      </w:pPr>
      <w:r>
        <w:rPr>
          <w:rFonts w:hint="eastAsia" w:ascii="宋体" w:hAnsi="宋体" w:eastAsia="宋体" w:cs="宋体"/>
          <w:szCs w:val="21"/>
        </w:rPr>
        <w:t>为适应社会发展和经济建设的需要，提高教育、科技、管理等方面专业人员的素质，多渠道地促进法律史专业人才培养，经国务院学位委员会批准，特在</w:t>
      </w:r>
      <w:r>
        <w:rPr>
          <w:rFonts w:hint="eastAsia" w:ascii="宋体" w:hAnsi="宋体" w:eastAsia="宋体" w:cs="宋体"/>
          <w:color w:val="FF0000"/>
          <w:szCs w:val="21"/>
        </w:rPr>
        <w:t>xx</w:t>
      </w:r>
      <w:r>
        <w:rPr>
          <w:rFonts w:hint="eastAsia" w:ascii="宋体" w:hAnsi="宋体" w:eastAsia="宋体" w:cs="宋体"/>
          <w:szCs w:val="21"/>
        </w:rPr>
        <w:t>地区开展以研究生毕业法律史专业同等学力申请硕士学位招生及培养工作。</w:t>
      </w:r>
    </w:p>
    <w:p>
      <w:pPr>
        <w:spacing w:line="360" w:lineRule="auto"/>
        <w:rPr>
          <w:rFonts w:ascii="宋体" w:hAnsi="宋体" w:eastAsia="宋体" w:cs="宋体"/>
          <w:szCs w:val="21"/>
        </w:rPr>
      </w:pPr>
    </w:p>
    <w:p>
      <w:pPr>
        <w:numPr>
          <w:ilvl w:val="0"/>
          <w:numId w:val="1"/>
        </w:numPr>
        <w:spacing w:line="360" w:lineRule="auto"/>
        <w:rPr>
          <w:rFonts w:ascii="宋体" w:hAnsi="宋体" w:eastAsia="宋体" w:cs="宋体"/>
          <w:b/>
          <w:bCs/>
          <w:szCs w:val="21"/>
        </w:rPr>
      </w:pPr>
      <w:r>
        <w:rPr>
          <w:rFonts w:hint="eastAsia" w:ascii="宋体" w:hAnsi="宋体" w:eastAsia="宋体" w:cs="宋体"/>
          <w:b/>
          <w:bCs/>
          <w:szCs w:val="21"/>
        </w:rPr>
        <w:t>培养目标</w:t>
      </w:r>
    </w:p>
    <w:p>
      <w:pPr>
        <w:spacing w:line="360" w:lineRule="auto"/>
        <w:ind w:firstLine="420" w:firstLineChars="200"/>
        <w:rPr>
          <w:rFonts w:ascii="宋体" w:hAnsi="宋体" w:eastAsia="宋体" w:cs="宋体"/>
          <w:szCs w:val="21"/>
        </w:rPr>
      </w:pPr>
      <w:r>
        <w:rPr>
          <w:rFonts w:hint="eastAsia" w:ascii="宋体" w:hAnsi="宋体" w:eastAsia="宋体" w:cs="宋体"/>
          <w:szCs w:val="21"/>
        </w:rPr>
        <w:t>1、本专业培养扎实掌握法律史学知识和相关学科的基础知识，能熟练阅读法律史学专业文献并独立撰写论文，具有较好的计算机应用技能，能独立进行法律史学研究工作的法学人才；</w:t>
      </w:r>
    </w:p>
    <w:p>
      <w:pPr>
        <w:spacing w:line="360" w:lineRule="auto"/>
        <w:ind w:firstLine="420" w:firstLineChars="200"/>
        <w:rPr>
          <w:rFonts w:ascii="宋体" w:hAnsi="宋体" w:eastAsia="宋体" w:cs="宋体"/>
          <w:szCs w:val="21"/>
        </w:rPr>
      </w:pPr>
      <w:r>
        <w:rPr>
          <w:rFonts w:hint="eastAsia" w:ascii="宋体" w:hAnsi="宋体" w:eastAsia="宋体" w:cs="宋体"/>
          <w:szCs w:val="21"/>
        </w:rPr>
        <w:t>2、毕业后能从事法律史学教学、科研及相关法律实务工作。</w:t>
      </w:r>
    </w:p>
    <w:p>
      <w:pPr>
        <w:spacing w:line="360" w:lineRule="auto"/>
        <w:rPr>
          <w:rFonts w:ascii="宋体" w:hAnsi="宋体" w:eastAsia="宋体" w:cs="宋体"/>
          <w:szCs w:val="21"/>
        </w:rPr>
      </w:pPr>
    </w:p>
    <w:p>
      <w:pPr>
        <w:numPr>
          <w:ilvl w:val="0"/>
          <w:numId w:val="1"/>
        </w:numPr>
        <w:spacing w:line="360" w:lineRule="auto"/>
        <w:rPr>
          <w:rFonts w:ascii="宋体" w:hAnsi="宋体" w:eastAsia="宋体" w:cs="宋体"/>
          <w:b/>
          <w:bCs/>
          <w:szCs w:val="21"/>
        </w:rPr>
      </w:pPr>
      <w:r>
        <w:rPr>
          <w:rFonts w:hint="eastAsia" w:ascii="宋体" w:hAnsi="宋体" w:eastAsia="宋体" w:cs="宋体"/>
          <w:b/>
          <w:bCs/>
          <w:szCs w:val="21"/>
        </w:rPr>
        <w:t>专业优势</w:t>
      </w:r>
    </w:p>
    <w:p>
      <w:pPr>
        <w:pStyle w:val="14"/>
        <w:spacing w:line="360" w:lineRule="auto"/>
        <w:ind w:left="420" w:firstLine="0" w:firstLineChars="0"/>
        <w:rPr>
          <w:rFonts w:ascii="宋体" w:hAnsi="宋体" w:eastAsia="宋体" w:cs="宋体"/>
          <w:szCs w:val="21"/>
        </w:rPr>
      </w:pPr>
      <w:r>
        <w:rPr>
          <w:rFonts w:hint="eastAsia" w:ascii="宋体" w:hAnsi="宋体" w:eastAsia="宋体" w:cs="宋体"/>
          <w:szCs w:val="21"/>
        </w:rPr>
        <w:t>【重点学科】南昌大学法学学科系江西省高校“十二五”重点学科；</w:t>
      </w:r>
    </w:p>
    <w:p>
      <w:pPr>
        <w:spacing w:line="360" w:lineRule="auto"/>
        <w:ind w:firstLine="420" w:firstLineChars="200"/>
        <w:rPr>
          <w:rFonts w:ascii="宋体" w:hAnsi="宋体" w:eastAsia="宋体" w:cs="宋体"/>
          <w:szCs w:val="21"/>
        </w:rPr>
      </w:pPr>
      <w:r>
        <w:rPr>
          <w:rFonts w:hint="eastAsia" w:ascii="宋体" w:hAnsi="宋体" w:eastAsia="宋体" w:cs="宋体"/>
          <w:szCs w:val="21"/>
        </w:rPr>
        <w:t>【含金量高】成绩合格颁发南昌大学法学硕士学位，学位网可查</w:t>
      </w:r>
      <w:r>
        <w:rPr>
          <w:rFonts w:ascii="宋体" w:hAnsi="宋体" w:eastAsia="宋体" w:cs="宋体"/>
          <w:szCs w:val="21"/>
        </w:rPr>
        <w:t>，</w:t>
      </w:r>
      <w:r>
        <w:rPr>
          <w:rFonts w:hint="eastAsia" w:ascii="宋体" w:hAnsi="宋体" w:eastAsia="宋体" w:cs="宋体"/>
          <w:szCs w:val="21"/>
        </w:rPr>
        <w:t>含金量高；</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【性价比高】法学院同等学力申硕专业学费相较于其他211高校学费性价比高；</w:t>
      </w:r>
    </w:p>
    <w:p>
      <w:pPr>
        <w:spacing w:line="360" w:lineRule="auto"/>
        <w:ind w:firstLine="420" w:firstLineChars="200"/>
        <w:rPr>
          <w:rFonts w:ascii="宋体" w:hAnsi="宋体" w:eastAsia="宋体" w:cs="宋体"/>
          <w:szCs w:val="21"/>
        </w:rPr>
      </w:pPr>
      <w:r>
        <w:rPr>
          <w:rFonts w:hint="eastAsia" w:ascii="宋体" w:hAnsi="宋体" w:eastAsia="宋体" w:cs="宋体"/>
          <w:szCs w:val="21"/>
        </w:rPr>
        <w:t>【灵活授课】设</w:t>
      </w:r>
      <w:r>
        <w:rPr>
          <w:rFonts w:hint="eastAsia" w:ascii="宋体" w:hAnsi="宋体" w:eastAsia="宋体" w:cs="宋体"/>
          <w:color w:val="FF0000"/>
          <w:szCs w:val="21"/>
        </w:rPr>
        <w:t>xx</w:t>
      </w:r>
      <w:r>
        <w:rPr>
          <w:rFonts w:hint="eastAsia" w:ascii="宋体" w:hAnsi="宋体" w:eastAsia="宋体" w:cs="宋体"/>
          <w:szCs w:val="21"/>
        </w:rPr>
        <w:t>本地面授班、南昌本部集中班及全国远程班，学习方式灵活，学员可根据自身情况选择学习方式；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【申硕机会多】学校学制保留7年，达申硕条件即可申请每年5月同等学力申硕考试；</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【高通过率】设申硕考前辅导，360度全方位剖析考纲、考点，提高申硕通过率。</w:t>
      </w:r>
    </w:p>
    <w:p>
      <w:pPr>
        <w:spacing w:line="360" w:lineRule="auto"/>
        <w:rPr>
          <w:rFonts w:ascii="宋体" w:hAnsi="宋体" w:eastAsia="宋体" w:cs="宋体"/>
          <w:szCs w:val="21"/>
        </w:rPr>
      </w:pPr>
    </w:p>
    <w:p>
      <w:pPr>
        <w:numPr>
          <w:ilvl w:val="0"/>
          <w:numId w:val="1"/>
        </w:numPr>
        <w:spacing w:line="360" w:lineRule="auto"/>
        <w:rPr>
          <w:rFonts w:ascii="宋体" w:hAnsi="宋体" w:eastAsia="宋体" w:cs="宋体"/>
          <w:b/>
          <w:bCs/>
          <w:szCs w:val="21"/>
        </w:rPr>
      </w:pPr>
      <w:r>
        <w:rPr>
          <w:rFonts w:hint="eastAsia" w:ascii="宋体" w:hAnsi="宋体" w:eastAsia="宋体" w:cs="宋体"/>
          <w:b/>
          <w:bCs/>
          <w:szCs w:val="21"/>
        </w:rPr>
        <w:t>招生条件</w:t>
      </w:r>
    </w:p>
    <w:p>
      <w:pPr>
        <w:spacing w:line="360" w:lineRule="auto"/>
        <w:ind w:firstLine="420" w:firstLineChars="200"/>
        <w:rPr>
          <w:rFonts w:ascii="宋体" w:hAnsi="宋体" w:eastAsia="宋体" w:cs="宋体"/>
          <w:szCs w:val="21"/>
        </w:rPr>
      </w:pPr>
      <w:r>
        <w:rPr>
          <w:rFonts w:hint="eastAsia" w:ascii="宋体" w:hAnsi="宋体" w:eastAsia="宋体" w:cs="宋体"/>
          <w:szCs w:val="21"/>
        </w:rPr>
        <w:t>1、本科毕业并获取学士学位者可报名参加在职研究生课程学习；</w:t>
      </w:r>
    </w:p>
    <w:p>
      <w:pPr>
        <w:spacing w:line="360" w:lineRule="auto"/>
        <w:ind w:firstLine="420" w:firstLineChars="200"/>
        <w:rPr>
          <w:rFonts w:ascii="宋体" w:hAnsi="宋体" w:eastAsia="宋体" w:cs="宋体"/>
          <w:szCs w:val="21"/>
        </w:rPr>
      </w:pPr>
      <w:r>
        <w:rPr>
          <w:rFonts w:hint="eastAsia" w:ascii="宋体" w:hAnsi="宋体" w:eastAsia="宋体" w:cs="宋体"/>
          <w:szCs w:val="21"/>
        </w:rPr>
        <w:t>2、获取学士学位后工作满三年以上者，可依据学位要求申请硕士学位。</w:t>
      </w:r>
    </w:p>
    <w:p>
      <w:pPr>
        <w:spacing w:line="360" w:lineRule="auto"/>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五、课程设置</w:t>
      </w:r>
    </w:p>
    <w:tbl>
      <w:tblPr>
        <w:tblStyle w:val="5"/>
        <w:tblW w:w="7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6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公共课</w:t>
            </w:r>
          </w:p>
        </w:tc>
        <w:tc>
          <w:tcPr>
            <w:tcW w:w="6175" w:type="dxa"/>
            <w:vAlign w:val="center"/>
          </w:tcPr>
          <w:p>
            <w:pPr>
              <w:spacing w:line="360" w:lineRule="auto"/>
              <w:rPr>
                <w:rFonts w:ascii="宋体" w:hAnsi="宋体" w:eastAsia="宋体" w:cs="宋体"/>
                <w:szCs w:val="21"/>
              </w:rPr>
            </w:pPr>
            <w:r>
              <w:rPr>
                <w:rFonts w:hint="eastAsia" w:ascii="宋体" w:hAnsi="宋体" w:eastAsia="宋体" w:cs="宋体"/>
                <w:szCs w:val="21"/>
              </w:rPr>
              <w:t>英语、中国特色社会主义理论与实践、自然辩证法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专业核心课</w:t>
            </w:r>
          </w:p>
        </w:tc>
        <w:tc>
          <w:tcPr>
            <w:tcW w:w="6175" w:type="dxa"/>
            <w:vAlign w:val="center"/>
          </w:tcPr>
          <w:p>
            <w:pPr>
              <w:spacing w:line="360" w:lineRule="auto"/>
              <w:rPr>
                <w:rFonts w:ascii="宋体" w:hAnsi="宋体" w:eastAsia="宋体" w:cs="宋体"/>
                <w:szCs w:val="21"/>
              </w:rPr>
            </w:pPr>
            <w:r>
              <w:rPr>
                <w:rFonts w:hint="eastAsia" w:ascii="宋体" w:hAnsi="宋体" w:eastAsia="宋体" w:cs="宋体"/>
                <w:szCs w:val="21"/>
              </w:rPr>
              <w:t>刑法学、民法学、中国法制史专题研究、法理学、宪法学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专业方向课</w:t>
            </w:r>
          </w:p>
        </w:tc>
        <w:tc>
          <w:tcPr>
            <w:tcW w:w="6175" w:type="dxa"/>
            <w:vAlign w:val="center"/>
          </w:tcPr>
          <w:p>
            <w:pPr>
              <w:widowControl/>
              <w:spacing w:line="360" w:lineRule="auto"/>
              <w:rPr>
                <w:rFonts w:ascii="宋体" w:hAnsi="宋体" w:eastAsia="宋体" w:cs="宋体"/>
                <w:szCs w:val="21"/>
              </w:rPr>
            </w:pPr>
            <w:r>
              <w:rPr>
                <w:rFonts w:hint="eastAsia" w:ascii="宋体" w:hAnsi="宋体" w:eastAsia="宋体" w:cs="宋体"/>
                <w:szCs w:val="21"/>
              </w:rPr>
              <w:t>外国法制史专题研究、法律史研究前沿问题、法理学、</w:t>
            </w:r>
          </w:p>
          <w:p>
            <w:pPr>
              <w:widowControl/>
              <w:spacing w:line="360" w:lineRule="auto"/>
              <w:rPr>
                <w:rFonts w:ascii="宋体" w:hAnsi="宋体" w:eastAsia="宋体" w:cs="宋体"/>
                <w:szCs w:val="21"/>
              </w:rPr>
            </w:pPr>
            <w:r>
              <w:rPr>
                <w:rFonts w:hint="eastAsia" w:ascii="宋体" w:hAnsi="宋体" w:eastAsia="宋体" w:cs="宋体"/>
                <w:szCs w:val="21"/>
              </w:rPr>
              <w:t>中国司法制度史专题研究、中国宪政史专题研究、法律史史料学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研究方向</w:t>
            </w:r>
          </w:p>
        </w:tc>
        <w:tc>
          <w:tcPr>
            <w:tcW w:w="6175" w:type="dxa"/>
            <w:vAlign w:val="center"/>
          </w:tcPr>
          <w:p>
            <w:pPr>
              <w:spacing w:line="360" w:lineRule="auto"/>
              <w:rPr>
                <w:rFonts w:ascii="宋体" w:hAnsi="宋体" w:eastAsia="宋体" w:cs="宋体"/>
                <w:szCs w:val="21"/>
              </w:rPr>
            </w:pPr>
            <w:r>
              <w:rPr>
                <w:rFonts w:hint="eastAsia" w:ascii="宋体" w:hAnsi="宋体" w:eastAsia="宋体" w:cs="宋体"/>
                <w:szCs w:val="21"/>
              </w:rPr>
              <w:t>中国传统法律文化、中国法律制度史</w:t>
            </w:r>
          </w:p>
        </w:tc>
      </w:tr>
    </w:tbl>
    <w:p>
      <w:pPr>
        <w:spacing w:line="360" w:lineRule="auto"/>
        <w:jc w:val="center"/>
        <w:rPr>
          <w:rFonts w:ascii="宋体" w:hAnsi="宋体" w:eastAsia="宋体" w:cs="宋体"/>
          <w:szCs w:val="21"/>
        </w:rPr>
      </w:pPr>
      <w:r>
        <w:rPr>
          <w:rFonts w:hint="eastAsia" w:ascii="宋体" w:hAnsi="宋体" w:eastAsia="宋体" w:cs="宋体"/>
          <w:szCs w:val="21"/>
        </w:rPr>
        <w:t>（注：课程以学校实际上课为准）</w:t>
      </w:r>
    </w:p>
    <w:p>
      <w:pPr>
        <w:spacing w:line="360" w:lineRule="auto"/>
        <w:rPr>
          <w:rFonts w:ascii="宋体" w:hAnsi="宋体" w:eastAsia="宋体" w:cs="宋体"/>
          <w:b/>
          <w:bCs/>
          <w:szCs w:val="21"/>
        </w:rPr>
      </w:pPr>
      <w:r>
        <w:rPr>
          <w:rFonts w:hint="eastAsia" w:ascii="宋体" w:hAnsi="宋体" w:eastAsia="宋体" w:cs="宋体"/>
          <w:b/>
          <w:bCs/>
          <w:szCs w:val="21"/>
        </w:rPr>
        <w:t>六、收费标准</w:t>
      </w:r>
    </w:p>
    <w:p>
      <w:pPr>
        <w:spacing w:line="360" w:lineRule="auto"/>
        <w:ind w:firstLine="420"/>
        <w:rPr>
          <w:rFonts w:ascii="宋体" w:hAnsi="宋体" w:eastAsia="宋体" w:cs="宋体"/>
          <w:szCs w:val="21"/>
        </w:rPr>
      </w:pPr>
      <w:r>
        <w:rPr>
          <w:rFonts w:hint="eastAsia" w:ascii="宋体" w:hAnsi="宋体" w:eastAsia="宋体" w:cs="宋体"/>
          <w:szCs w:val="21"/>
        </w:rPr>
        <w:t>学费</w:t>
      </w:r>
      <w:r>
        <w:rPr>
          <w:rFonts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6000元。</w:t>
      </w:r>
    </w:p>
    <w:p>
      <w:pPr>
        <w:spacing w:line="360" w:lineRule="auto"/>
        <w:ind w:firstLine="420"/>
        <w:rPr>
          <w:rFonts w:ascii="宋体" w:hAnsi="宋体" w:eastAsia="宋体" w:cs="宋体"/>
          <w:color w:val="FF0000"/>
          <w:szCs w:val="21"/>
        </w:rPr>
      </w:pPr>
    </w:p>
    <w:p>
      <w:pPr>
        <w:spacing w:line="360" w:lineRule="auto"/>
        <w:rPr>
          <w:rFonts w:ascii="宋体" w:hAnsi="宋体" w:eastAsia="宋体" w:cs="宋体"/>
          <w:b/>
          <w:bCs/>
          <w:szCs w:val="21"/>
        </w:rPr>
      </w:pPr>
      <w:r>
        <w:rPr>
          <w:rFonts w:hint="eastAsia" w:ascii="宋体" w:hAnsi="宋体" w:eastAsia="宋体" w:cs="宋体"/>
          <w:b/>
          <w:bCs/>
          <w:szCs w:val="21"/>
        </w:rPr>
        <w:t>七、培养方式</w:t>
      </w:r>
    </w:p>
    <w:p>
      <w:pPr>
        <w:spacing w:line="360" w:lineRule="auto"/>
        <w:ind w:firstLine="420" w:firstLineChars="200"/>
        <w:rPr>
          <w:rFonts w:ascii="宋体" w:hAnsi="宋体" w:eastAsia="宋体" w:cs="宋体"/>
          <w:szCs w:val="21"/>
        </w:rPr>
      </w:pPr>
      <w:r>
        <w:rPr>
          <w:rFonts w:hint="eastAsia" w:ascii="宋体" w:hAnsi="宋体" w:eastAsia="宋体" w:cs="宋体"/>
          <w:szCs w:val="21"/>
        </w:rPr>
        <w:t>1、学习时间：学制两年；</w:t>
      </w:r>
    </w:p>
    <w:p>
      <w:pPr>
        <w:spacing w:line="360" w:lineRule="auto"/>
        <w:ind w:firstLine="420" w:firstLineChars="200"/>
        <w:rPr>
          <w:rFonts w:ascii="宋体" w:hAnsi="宋体" w:eastAsia="宋体" w:cs="宋体"/>
          <w:szCs w:val="21"/>
        </w:rPr>
      </w:pPr>
      <w:r>
        <w:rPr>
          <w:rFonts w:hint="eastAsia" w:ascii="宋体" w:hAnsi="宋体" w:eastAsia="宋体" w:cs="宋体"/>
          <w:szCs w:val="21"/>
        </w:rPr>
        <w:t>2、授课方式：面授班利用周末及公众节假日上课；</w:t>
      </w:r>
      <w:r>
        <w:rPr>
          <w:rFonts w:ascii="宋体" w:hAnsi="宋体" w:eastAsia="宋体" w:cs="宋体"/>
          <w:szCs w:val="21"/>
        </w:rPr>
        <w:t>集中班利用</w:t>
      </w:r>
      <w:r>
        <w:rPr>
          <w:rFonts w:hint="eastAsia" w:ascii="宋体" w:hAnsi="宋体" w:eastAsia="宋体" w:cs="宋体"/>
          <w:szCs w:val="21"/>
        </w:rPr>
        <w:t>假期集中面授；远程班</w:t>
      </w:r>
      <w:r>
        <w:rPr>
          <w:rFonts w:ascii="宋体" w:hAnsi="宋体" w:eastAsia="宋体" w:cs="宋体"/>
          <w:szCs w:val="21"/>
        </w:rPr>
        <w:t>不</w:t>
      </w:r>
      <w:r>
        <w:rPr>
          <w:rFonts w:hint="eastAsia" w:ascii="宋体" w:hAnsi="宋体" w:eastAsia="宋体" w:cs="宋体"/>
          <w:szCs w:val="21"/>
        </w:rPr>
        <w:t>受</w:t>
      </w:r>
      <w:r>
        <w:rPr>
          <w:rFonts w:ascii="宋体" w:hAnsi="宋体" w:eastAsia="宋体" w:cs="宋体"/>
          <w:szCs w:val="21"/>
        </w:rPr>
        <w:t>时间和空间限制学员自行网络学习</w:t>
      </w:r>
      <w:r>
        <w:rPr>
          <w:rFonts w:hint="eastAsia" w:ascii="宋体" w:hAnsi="宋体" w:eastAsia="宋体" w:cs="宋体"/>
          <w:szCs w:val="21"/>
        </w:rPr>
        <w:t>。学习期间采取理论与实践相结合、课堂讲授与自学相结合的方式。</w:t>
      </w:r>
    </w:p>
    <w:p>
      <w:pPr>
        <w:spacing w:line="360" w:lineRule="auto"/>
        <w:ind w:firstLine="420" w:firstLineChars="200"/>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八、报名手续</w:t>
      </w:r>
    </w:p>
    <w:p>
      <w:pPr>
        <w:spacing w:line="360" w:lineRule="auto"/>
        <w:ind w:firstLine="420" w:firstLineChars="200"/>
        <w:rPr>
          <w:rFonts w:ascii="宋体" w:hAnsi="宋体" w:eastAsia="宋体" w:cs="宋体"/>
          <w:szCs w:val="21"/>
        </w:rPr>
      </w:pPr>
      <w:r>
        <w:rPr>
          <w:rFonts w:hint="eastAsia" w:ascii="宋体" w:hAnsi="宋体" w:eastAsia="宋体" w:cs="宋体"/>
          <w:szCs w:val="21"/>
        </w:rPr>
        <w:t>1、预约报名；</w:t>
      </w:r>
    </w:p>
    <w:p>
      <w:pPr>
        <w:spacing w:line="360" w:lineRule="auto"/>
        <w:ind w:firstLine="420" w:firstLineChars="200"/>
        <w:rPr>
          <w:rFonts w:ascii="宋体" w:hAnsi="宋体" w:eastAsia="宋体" w:cs="宋体"/>
          <w:szCs w:val="21"/>
        </w:rPr>
      </w:pPr>
      <w:r>
        <w:rPr>
          <w:rFonts w:hint="eastAsia" w:ascii="宋体" w:hAnsi="宋体" w:eastAsia="宋体" w:cs="宋体"/>
          <w:szCs w:val="21"/>
        </w:rPr>
        <w:t>2、提交本人学位证书、毕业证书和身份证复印件各一份；</w:t>
      </w:r>
    </w:p>
    <w:p>
      <w:pPr>
        <w:spacing w:line="360" w:lineRule="auto"/>
        <w:ind w:firstLine="420" w:firstLineChars="200"/>
        <w:rPr>
          <w:rFonts w:ascii="宋体" w:hAnsi="宋体" w:eastAsia="宋体" w:cs="宋体"/>
          <w:szCs w:val="21"/>
        </w:rPr>
      </w:pPr>
      <w:r>
        <w:rPr>
          <w:rFonts w:hint="eastAsia" w:ascii="宋体" w:hAnsi="宋体" w:eastAsia="宋体" w:cs="宋体"/>
          <w:szCs w:val="21"/>
        </w:rPr>
        <w:t>3、交1寸和2寸免冠照片6张。</w:t>
      </w:r>
    </w:p>
    <w:p>
      <w:pPr>
        <w:spacing w:line="360" w:lineRule="auto"/>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九、获取证书</w:t>
      </w:r>
    </w:p>
    <w:p>
      <w:pPr>
        <w:spacing w:line="360" w:lineRule="auto"/>
        <w:ind w:firstLine="420" w:firstLineChars="200"/>
        <w:rPr>
          <w:rFonts w:ascii="宋体" w:hAnsi="宋体" w:eastAsia="宋体" w:cs="宋体"/>
          <w:szCs w:val="21"/>
        </w:rPr>
      </w:pPr>
      <w:r>
        <w:rPr>
          <w:rFonts w:hint="eastAsia" w:ascii="宋体" w:hAnsi="宋体" w:eastAsia="宋体" w:cs="宋体"/>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bookmarkStart w:id="0" w:name="_GoBack"/>
      <w:bookmarkEnd w:id="0"/>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ind w:firstLine="120" w:firstLineChars="50"/>
        <w:rPr>
          <w:rFonts w:hint="eastAsia" w:ascii="宋体" w:hAnsi="宋体"/>
          <w:sz w:val="24"/>
        </w:rPr>
      </w:pPr>
      <w:r>
        <w:rPr>
          <w:rFonts w:hint="eastAsia" w:ascii="宋体" w:hAnsi="宋体"/>
          <w:sz w:val="24"/>
        </w:rPr>
        <w:t>学号：_________________</w:t>
      </w:r>
    </w:p>
    <w:p>
      <w:pPr>
        <w:ind w:firstLine="360" w:firstLineChars="150"/>
        <w:rPr>
          <w:rFonts w:hint="eastAsia" w:ascii="黑体" w:hAnsi="宋体" w:eastAsia="黑体"/>
          <w:sz w:val="32"/>
          <w:szCs w:val="32"/>
        </w:rPr>
      </w:pPr>
      <w:r>
        <w:rPr>
          <w:rFonts w:hint="eastAsia" w:ascii="宋体" w:hAnsi="宋体"/>
          <w:sz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4259580</wp:posOffset>
                </wp:positionH>
                <wp:positionV relativeFrom="paragraph">
                  <wp:posOffset>24765</wp:posOffset>
                </wp:positionV>
                <wp:extent cx="1466215" cy="304800"/>
                <wp:effectExtent l="9525" t="9525" r="10160"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466215" cy="304800"/>
                        </a:xfrm>
                        <a:prstGeom prst="rect">
                          <a:avLst/>
                        </a:prstGeom>
                        <a:solidFill>
                          <a:srgbClr val="FFFFFF"/>
                        </a:solidFill>
                        <a:ln w="9525">
                          <a:solidFill>
                            <a:srgbClr val="FFFFFF"/>
                          </a:solidFill>
                          <a:miter lim="800000"/>
                        </a:ln>
                        <a:effectLst/>
                      </wps:spPr>
                      <wps:txbx>
                        <w:txbxContent>
                          <w:p>
                            <w:pPr>
                              <w:widowControl/>
                              <w:rPr>
                                <w:rFonts w:hint="eastAsia" w:ascii="宋体" w:hAnsi="宋体" w:cs="宋体"/>
                                <w:color w:val="000000"/>
                                <w:kern w:val="0"/>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5.4pt;margin-top:1.95pt;height:24pt;width:115.45pt;z-index:251660288;mso-width-relative:page;mso-height-relative:page;" fillcolor="#FFFFFF" filled="t" stroked="t" coordsize="21600,21600" o:gfxdata="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hzHJbXAAAACAEAAA8AAAAAAAAAAQAgAAAAIgAAAGRycy9kb3ducmV2LnhtbFBLAQIUABQAAAAI&#10;AIdO4kAHMtkwJwIAAEcEAAAOAAAAAAAAAAEAIAAAACYBAABkcnMvZTJvRG9jLnhtbFBLBQYAAAAA&#10;BgAGAFkBAAC/BQAAAAA=&#10;">
                <v:fill on="t" focussize="0,0"/>
                <v:stroke color="#FFFFFF" miterlimit="8" joinstyle="miter"/>
                <v:imagedata o:title=""/>
                <o:lock v:ext="edit" aspectratio="f"/>
                <v:textbox>
                  <w:txbxContent>
                    <w:p>
                      <w:pPr>
                        <w:widowControl/>
                        <w:rPr>
                          <w:rFonts w:hint="eastAsia" w:ascii="宋体" w:hAnsi="宋体" w:cs="宋体"/>
                          <w:color w:val="000000"/>
                          <w:kern w:val="0"/>
                          <w:szCs w:val="21"/>
                        </w:rPr>
                      </w:pPr>
                    </w:p>
                  </w:txbxContent>
                </v:textbox>
              </v:shape>
            </w:pict>
          </mc:Fallback>
        </mc:AlternateContent>
      </w:r>
      <w:r>
        <w:rPr>
          <w:rFonts w:hint="eastAsia" w:ascii="宋体" w:hAnsi="宋体"/>
          <w:sz w:val="24"/>
        </w:rPr>
        <w:t xml:space="preserve"> </w:t>
      </w:r>
      <w:r>
        <w:rPr>
          <w:rFonts w:hint="eastAsia" w:ascii="宋体" w:hAnsi="宋体"/>
          <w:b/>
          <w:sz w:val="36"/>
          <w:szCs w:val="36"/>
        </w:rPr>
        <w:t xml:space="preserve">  </w:t>
      </w:r>
      <w:r>
        <w:rPr>
          <w:rFonts w:hint="eastAsia" w:ascii="宋体" w:hAnsi="宋体"/>
          <w:b/>
          <w:sz w:val="30"/>
          <w:szCs w:val="30"/>
        </w:rPr>
        <w:t xml:space="preserve"> </w:t>
      </w:r>
      <w:r>
        <w:rPr>
          <w:rFonts w:ascii="宋体" w:hAnsi="宋体"/>
          <w:b/>
          <w:sz w:val="30"/>
          <w:szCs w:val="30"/>
        </w:rPr>
        <w:t xml:space="preserve">       </w:t>
      </w:r>
      <w:r>
        <w:rPr>
          <w:rFonts w:hint="eastAsia" w:ascii="宋体" w:hAnsi="宋体"/>
          <w:b/>
          <w:sz w:val="30"/>
          <w:szCs w:val="30"/>
        </w:rPr>
        <w:t>南昌</w:t>
      </w:r>
      <w:r>
        <w:rPr>
          <w:rFonts w:hint="eastAsia" w:ascii="宋体" w:hAnsi="宋体"/>
          <w:b/>
          <w:sz w:val="32"/>
          <w:szCs w:val="32"/>
        </w:rPr>
        <w:t>大学</w:t>
      </w:r>
      <w:r>
        <w:rPr>
          <w:rFonts w:hint="eastAsia" w:ascii="黑体" w:hAnsi="宋体" w:eastAsia="黑体"/>
          <w:bCs/>
          <w:sz w:val="32"/>
          <w:szCs w:val="32"/>
        </w:rPr>
        <w:t>报名登记表</w:t>
      </w:r>
    </w:p>
    <w:tbl>
      <w:tblPr>
        <w:tblStyle w:val="4"/>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97" w:type="dxa"/>
            <w:vAlign w:val="center"/>
          </w:tcPr>
          <w:p>
            <w:pPr>
              <w:jc w:val="center"/>
              <w:rPr>
                <w:rFonts w:hint="eastAsia" w:ascii="宋体" w:hAnsi="宋体"/>
                <w:szCs w:val="21"/>
              </w:rPr>
            </w:pPr>
            <w:r>
              <w:rPr>
                <w:rFonts w:hint="eastAsia" w:ascii="宋体" w:hAnsi="宋体"/>
                <w:szCs w:val="21"/>
              </w:rPr>
              <w:t>专业</w:t>
            </w:r>
          </w:p>
          <w:p>
            <w:pPr>
              <w:jc w:val="center"/>
              <w:rPr>
                <w:rFonts w:hint="eastAsia"/>
                <w:szCs w:val="21"/>
              </w:rPr>
            </w:pPr>
            <w:r>
              <w:rPr>
                <w:rFonts w:hint="eastAsia" w:ascii="宋体" w:hAnsi="宋体"/>
                <w:szCs w:val="21"/>
              </w:rPr>
              <w:t>名称</w:t>
            </w:r>
          </w:p>
        </w:tc>
        <w:tc>
          <w:tcPr>
            <w:tcW w:w="2251" w:type="dxa"/>
            <w:gridSpan w:val="2"/>
            <w:vAlign w:val="center"/>
          </w:tcPr>
          <w:p>
            <w:pPr>
              <w:jc w:val="center"/>
              <w:rPr>
                <w:rFonts w:hint="eastAsia"/>
                <w:szCs w:val="21"/>
              </w:rPr>
            </w:pPr>
            <w:r>
              <w:rPr>
                <w:rFonts w:hint="eastAsia"/>
                <w:szCs w:val="21"/>
              </w:rPr>
              <w:t xml:space="preserve">    </w:t>
            </w:r>
          </w:p>
        </w:tc>
        <w:tc>
          <w:tcPr>
            <w:tcW w:w="894" w:type="dxa"/>
            <w:vAlign w:val="center"/>
          </w:tcPr>
          <w:p>
            <w:pPr>
              <w:jc w:val="center"/>
              <w:rPr>
                <w:rFonts w:hint="eastAsia" w:ascii="宋体" w:hAnsi="宋体"/>
                <w:szCs w:val="21"/>
              </w:rPr>
            </w:pPr>
            <w:r>
              <w:rPr>
                <w:rFonts w:hint="eastAsia" w:ascii="宋体" w:hAnsi="宋体"/>
                <w:szCs w:val="21"/>
              </w:rPr>
              <w:t>所在</w:t>
            </w:r>
          </w:p>
          <w:p>
            <w:pPr>
              <w:jc w:val="center"/>
              <w:rPr>
                <w:szCs w:val="21"/>
              </w:rPr>
            </w:pPr>
            <w:r>
              <w:rPr>
                <w:rFonts w:hint="eastAsia" w:ascii="宋体" w:hAnsi="宋体"/>
                <w:szCs w:val="21"/>
              </w:rPr>
              <w:t>院系</w:t>
            </w:r>
          </w:p>
        </w:tc>
        <w:tc>
          <w:tcPr>
            <w:tcW w:w="2979" w:type="dxa"/>
            <w:gridSpan w:val="4"/>
            <w:vAlign w:val="center"/>
          </w:tcPr>
          <w:p>
            <w:pPr>
              <w:jc w:val="center"/>
              <w:rPr>
                <w:rFonts w:hint="eastAsia"/>
                <w:szCs w:val="21"/>
              </w:rPr>
            </w:pPr>
          </w:p>
        </w:tc>
        <w:tc>
          <w:tcPr>
            <w:tcW w:w="1799" w:type="dxa"/>
            <w:vMerge w:val="restart"/>
            <w:vAlign w:val="center"/>
          </w:tcPr>
          <w:p>
            <w:pPr>
              <w:rPr>
                <w:rFonts w:hint="eastAsia"/>
              </w:rPr>
            </w:pPr>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7" w:type="dxa"/>
            <w:vAlign w:val="center"/>
          </w:tcPr>
          <w:p>
            <w:pPr>
              <w:jc w:val="center"/>
              <w:rPr>
                <w:rFonts w:hint="eastAsia"/>
              </w:rPr>
            </w:pPr>
            <w:r>
              <w:rPr>
                <w:rFonts w:hint="eastAsia"/>
              </w:rPr>
              <w:t>报名</w:t>
            </w:r>
          </w:p>
          <w:p>
            <w:pPr>
              <w:jc w:val="center"/>
              <w:rPr>
                <w:rFonts w:hint="eastAsia" w:ascii="宋体" w:hAnsi="宋体"/>
                <w:szCs w:val="21"/>
              </w:rPr>
            </w:pPr>
            <w:r>
              <w:rPr>
                <w:rFonts w:hint="eastAsia"/>
              </w:rPr>
              <w:t>时间</w:t>
            </w:r>
          </w:p>
        </w:tc>
        <w:tc>
          <w:tcPr>
            <w:tcW w:w="2251" w:type="dxa"/>
            <w:gridSpan w:val="2"/>
            <w:vAlign w:val="center"/>
          </w:tcPr>
          <w:p>
            <w:pPr>
              <w:jc w:val="center"/>
              <w:rPr>
                <w:rFonts w:hint="eastAsia"/>
                <w:szCs w:val="21"/>
              </w:rPr>
            </w:pPr>
          </w:p>
        </w:tc>
        <w:tc>
          <w:tcPr>
            <w:tcW w:w="894" w:type="dxa"/>
            <w:vAlign w:val="center"/>
          </w:tcPr>
          <w:p>
            <w:pPr>
              <w:jc w:val="center"/>
              <w:rPr>
                <w:rFonts w:hint="eastAsia" w:ascii="宋体" w:hAnsi="宋体"/>
                <w:szCs w:val="21"/>
              </w:rPr>
            </w:pPr>
            <w:r>
              <w:rPr>
                <w:rFonts w:hint="eastAsia" w:ascii="宋体" w:hAnsi="宋体"/>
                <w:szCs w:val="21"/>
              </w:rPr>
              <w:t>上课</w:t>
            </w:r>
          </w:p>
          <w:p>
            <w:pPr>
              <w:jc w:val="center"/>
              <w:rPr>
                <w:rFonts w:hint="eastAsia" w:ascii="宋体" w:hAnsi="宋体"/>
                <w:szCs w:val="21"/>
              </w:rPr>
            </w:pPr>
            <w:r>
              <w:rPr>
                <w:rFonts w:hint="eastAsia" w:ascii="宋体" w:hAnsi="宋体"/>
                <w:szCs w:val="21"/>
              </w:rPr>
              <w:t>地点</w:t>
            </w:r>
          </w:p>
        </w:tc>
        <w:tc>
          <w:tcPr>
            <w:tcW w:w="2979" w:type="dxa"/>
            <w:gridSpan w:val="4"/>
            <w:vAlign w:val="center"/>
          </w:tcPr>
          <w:p>
            <w:pPr>
              <w:jc w:val="center"/>
              <w:rPr>
                <w:rFonts w:hint="eastAsia"/>
                <w:szCs w:val="21"/>
              </w:rPr>
            </w:pPr>
          </w:p>
        </w:tc>
        <w:tc>
          <w:tcPr>
            <w:tcW w:w="1799"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7" w:type="dxa"/>
            <w:vAlign w:val="center"/>
          </w:tcPr>
          <w:p>
            <w:pPr>
              <w:jc w:val="center"/>
              <w:rPr>
                <w:rFonts w:hint="eastAsia"/>
              </w:rPr>
            </w:pPr>
            <w:r>
              <w:rPr>
                <w:rFonts w:hint="eastAsia"/>
              </w:rPr>
              <w:t>姓名</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出生</w:t>
            </w:r>
          </w:p>
          <w:p>
            <w:pPr>
              <w:jc w:val="center"/>
              <w:rPr>
                <w:rFonts w:hint="eastAsia"/>
              </w:rPr>
            </w:pPr>
            <w:r>
              <w:rPr>
                <w:rFonts w:hint="eastAsia"/>
              </w:rPr>
              <w:t>年月日</w:t>
            </w:r>
          </w:p>
        </w:tc>
        <w:tc>
          <w:tcPr>
            <w:tcW w:w="1421" w:type="dxa"/>
            <w:gridSpan w:val="2"/>
            <w:vAlign w:val="center"/>
          </w:tcPr>
          <w:p>
            <w:pPr>
              <w:jc w:val="center"/>
              <w:rPr>
                <w:rFonts w:hint="eastAsia"/>
                <w:color w:val="808080"/>
              </w:rPr>
            </w:pPr>
          </w:p>
        </w:tc>
        <w:tc>
          <w:tcPr>
            <w:tcW w:w="1558"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已婚□</w:t>
            </w:r>
          </w:p>
          <w:p>
            <w:pPr>
              <w:widowControl/>
              <w:jc w:val="center"/>
              <w:rPr>
                <w:rFonts w:ascii="宋体" w:hAnsi="宋体" w:cs="宋体"/>
                <w:color w:val="000000"/>
                <w:kern w:val="0"/>
                <w:szCs w:val="21"/>
              </w:rPr>
            </w:pPr>
            <w:r>
              <w:rPr>
                <w:rFonts w:hint="eastAsia" w:ascii="宋体" w:hAnsi="宋体" w:cs="宋体"/>
                <w:color w:val="000000"/>
                <w:kern w:val="0"/>
                <w:szCs w:val="21"/>
              </w:rPr>
              <w:t>未婚□</w:t>
            </w: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 w:type="dxa"/>
            <w:vAlign w:val="center"/>
          </w:tcPr>
          <w:p>
            <w:pPr>
              <w:jc w:val="center"/>
              <w:rPr>
                <w:rFonts w:hint="eastAsia"/>
              </w:rPr>
            </w:pPr>
            <w:r>
              <w:rPr>
                <w:rFonts w:hint="eastAsia"/>
              </w:rPr>
              <w:t>性别</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籍贯</w:t>
            </w:r>
          </w:p>
        </w:tc>
        <w:tc>
          <w:tcPr>
            <w:tcW w:w="2979" w:type="dxa"/>
            <w:gridSpan w:val="4"/>
            <w:vAlign w:val="center"/>
          </w:tcPr>
          <w:p>
            <w:pPr>
              <w:jc w:val="center"/>
              <w:rPr>
                <w:rFonts w:hint="eastAsia"/>
              </w:rPr>
            </w:pP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政治</w:t>
            </w:r>
          </w:p>
          <w:p>
            <w:pPr>
              <w:jc w:val="center"/>
              <w:rPr>
                <w:rFonts w:hint="eastAsia"/>
              </w:rPr>
            </w:pPr>
            <w:r>
              <w:rPr>
                <w:rFonts w:hint="eastAsia"/>
              </w:rPr>
              <w:t>面貌</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民族</w:t>
            </w:r>
          </w:p>
        </w:tc>
        <w:tc>
          <w:tcPr>
            <w:tcW w:w="1421" w:type="dxa"/>
            <w:gridSpan w:val="2"/>
            <w:vAlign w:val="center"/>
          </w:tcPr>
          <w:p>
            <w:pPr>
              <w:jc w:val="center"/>
              <w:rPr>
                <w:rFonts w:hint="eastAsia"/>
              </w:rPr>
            </w:pPr>
          </w:p>
        </w:tc>
        <w:tc>
          <w:tcPr>
            <w:tcW w:w="1558" w:type="dxa"/>
            <w:gridSpan w:val="2"/>
            <w:vAlign w:val="center"/>
          </w:tcPr>
          <w:p>
            <w:pPr>
              <w:jc w:val="center"/>
              <w:rPr>
                <w:rFonts w:hint="eastAsia"/>
              </w:rPr>
            </w:pPr>
            <w:r>
              <w:rPr>
                <w:rFonts w:hint="eastAsia"/>
              </w:rPr>
              <w:t>最后</w:t>
            </w:r>
          </w:p>
          <w:p>
            <w:pPr>
              <w:jc w:val="center"/>
              <w:rPr>
                <w:rFonts w:hint="eastAsia"/>
              </w:rPr>
            </w:pPr>
            <w:r>
              <w:rPr>
                <w:rFonts w:hint="eastAsia"/>
              </w:rPr>
              <w:t>学历</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身份 证号</w:t>
            </w:r>
          </w:p>
        </w:tc>
        <w:tc>
          <w:tcPr>
            <w:tcW w:w="7923" w:type="dxa"/>
            <w:gridSpan w:val="8"/>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手机 号码</w:t>
            </w:r>
          </w:p>
        </w:tc>
        <w:tc>
          <w:tcPr>
            <w:tcW w:w="4141" w:type="dxa"/>
            <w:gridSpan w:val="4"/>
            <w:vAlign w:val="center"/>
          </w:tcPr>
          <w:p>
            <w:pPr>
              <w:jc w:val="center"/>
              <w:rPr>
                <w:rFonts w:hint="eastAsia"/>
              </w:rPr>
            </w:pPr>
          </w:p>
        </w:tc>
        <w:tc>
          <w:tcPr>
            <w:tcW w:w="1983" w:type="dxa"/>
            <w:gridSpan w:val="3"/>
            <w:vAlign w:val="center"/>
          </w:tcPr>
          <w:p>
            <w:pPr>
              <w:jc w:val="center"/>
              <w:rPr>
                <w:rFonts w:hint="eastAsia"/>
              </w:rPr>
            </w:pPr>
            <w:r>
              <w:rPr>
                <w:rFonts w:hint="eastAsia"/>
              </w:rPr>
              <w:t>电子邮箱</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7" w:type="dxa"/>
            <w:vAlign w:val="center"/>
          </w:tcPr>
          <w:p>
            <w:pPr>
              <w:jc w:val="center"/>
              <w:rPr>
                <w:rFonts w:hint="eastAsia"/>
              </w:rPr>
            </w:pPr>
            <w:r>
              <w:rPr>
                <w:rFonts w:hint="eastAsia"/>
              </w:rPr>
              <w:t>毕业</w:t>
            </w:r>
          </w:p>
          <w:p>
            <w:pPr>
              <w:jc w:val="center"/>
              <w:rPr>
                <w:rFonts w:hint="eastAsia"/>
              </w:rPr>
            </w:pPr>
            <w:r>
              <w:rPr>
                <w:rFonts w:hint="eastAsia"/>
              </w:rPr>
              <w:t>学校</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所学</w:t>
            </w:r>
          </w:p>
          <w:p>
            <w:pPr>
              <w:jc w:val="center"/>
              <w:rPr>
                <w:rFonts w:hint="eastAsia"/>
              </w:rPr>
            </w:pPr>
            <w:r>
              <w:rPr>
                <w:rFonts w:hint="eastAsia"/>
              </w:rPr>
              <w:t>专业</w:t>
            </w:r>
          </w:p>
        </w:tc>
        <w:tc>
          <w:tcPr>
            <w:tcW w:w="1892" w:type="dxa"/>
            <w:gridSpan w:val="3"/>
            <w:vAlign w:val="center"/>
          </w:tcPr>
          <w:p>
            <w:pPr>
              <w:jc w:val="center"/>
              <w:rPr>
                <w:rFonts w:hint="eastAsia"/>
              </w:rPr>
            </w:pPr>
          </w:p>
        </w:tc>
        <w:tc>
          <w:tcPr>
            <w:tcW w:w="1087" w:type="dxa"/>
            <w:vAlign w:val="center"/>
          </w:tcPr>
          <w:p>
            <w:pPr>
              <w:jc w:val="center"/>
              <w:rPr>
                <w:rFonts w:hint="eastAsia"/>
              </w:rPr>
            </w:pPr>
            <w:r>
              <w:rPr>
                <w:rFonts w:hint="eastAsia"/>
              </w:rPr>
              <w:t>毕业</w:t>
            </w:r>
          </w:p>
          <w:p>
            <w:pPr>
              <w:ind w:firstLine="210" w:firstLineChars="100"/>
            </w:pPr>
            <w:r>
              <w:rPr>
                <w:rFonts w:hint="eastAsia"/>
              </w:rPr>
              <w:t>时间</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Align w:val="center"/>
          </w:tcPr>
          <w:p>
            <w:pPr>
              <w:jc w:val="center"/>
            </w:pPr>
            <w:r>
              <w:rPr>
                <w:rFonts w:hint="eastAsia"/>
              </w:rPr>
              <w:t>现在工作单位</w:t>
            </w:r>
          </w:p>
        </w:tc>
        <w:tc>
          <w:tcPr>
            <w:tcW w:w="5037" w:type="dxa"/>
            <w:gridSpan w:val="6"/>
            <w:vAlign w:val="center"/>
          </w:tcPr>
          <w:p>
            <w:pPr>
              <w:rPr>
                <w:rFonts w:hint="eastAsia"/>
              </w:rPr>
            </w:pPr>
          </w:p>
        </w:tc>
        <w:tc>
          <w:tcPr>
            <w:tcW w:w="1087" w:type="dxa"/>
            <w:vAlign w:val="center"/>
          </w:tcPr>
          <w:p>
            <w:pPr>
              <w:jc w:val="center"/>
              <w:rPr>
                <w:rFonts w:hint="eastAsia"/>
              </w:rPr>
            </w:pPr>
            <w:r>
              <w:rPr>
                <w:rFonts w:hint="eastAsia"/>
              </w:rPr>
              <w:t>职 务</w:t>
            </w:r>
          </w:p>
          <w:p>
            <w:pPr>
              <w:jc w:val="center"/>
            </w:pPr>
            <w:r>
              <w:rPr>
                <w:rFonts w:hint="eastAsia"/>
              </w:rPr>
              <w:t>（职称）</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97" w:type="dxa"/>
            <w:vAlign w:val="center"/>
          </w:tcPr>
          <w:p>
            <w:pPr>
              <w:jc w:val="center"/>
            </w:pPr>
            <w:r>
              <w:rPr>
                <w:rFonts w:hint="eastAsia"/>
              </w:rPr>
              <w:t>单位通讯地址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单位联 系电话</w:t>
            </w: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Align w:val="center"/>
          </w:tcPr>
          <w:p>
            <w:pPr>
              <w:jc w:val="center"/>
              <w:rPr>
                <w:rFonts w:hint="eastAsia"/>
              </w:rPr>
            </w:pPr>
            <w:r>
              <w:rPr>
                <w:rFonts w:hint="eastAsia"/>
              </w:rPr>
              <w:t>家庭 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家庭电话</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restart"/>
            <w:tcBorders>
              <w:left w:val="single" w:color="auto" w:sz="4" w:space="0"/>
            </w:tcBorders>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与</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经</w:t>
            </w:r>
          </w:p>
          <w:p>
            <w:pPr>
              <w:jc w:val="center"/>
            </w:pPr>
            <w:r>
              <w:rPr>
                <w:rFonts w:hint="eastAsia"/>
              </w:rPr>
              <w:t>历</w:t>
            </w:r>
          </w:p>
        </w:tc>
        <w:tc>
          <w:tcPr>
            <w:tcW w:w="1797" w:type="dxa"/>
            <w:vAlign w:val="center"/>
          </w:tcPr>
          <w:p>
            <w:pPr>
              <w:jc w:val="center"/>
            </w:pPr>
            <w:r>
              <w:rPr>
                <w:rFonts w:hint="eastAsia"/>
              </w:rPr>
              <w:t>起止年月</w:t>
            </w:r>
          </w:p>
        </w:tc>
        <w:tc>
          <w:tcPr>
            <w:tcW w:w="4327" w:type="dxa"/>
            <w:gridSpan w:val="6"/>
            <w:vAlign w:val="center"/>
          </w:tcPr>
          <w:p>
            <w:pPr>
              <w:jc w:val="center"/>
            </w:pPr>
            <w:r>
              <w:rPr>
                <w:rFonts w:hint="eastAsia"/>
              </w:rPr>
              <w:t>学 习 和 工 作 单 位</w:t>
            </w:r>
          </w:p>
        </w:tc>
        <w:tc>
          <w:tcPr>
            <w:tcW w:w="1799"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rPr>
                <w:rFonts w:hint="eastAsia"/>
              </w:rPr>
            </w:pPr>
          </w:p>
        </w:tc>
        <w:tc>
          <w:tcPr>
            <w:tcW w:w="4327" w:type="dxa"/>
            <w:gridSpan w:val="6"/>
            <w:vAlign w:val="center"/>
          </w:tcPr>
          <w:p>
            <w:pPr>
              <w:jc w:val="center"/>
              <w:rPr>
                <w:rFonts w:hint="eastAsia"/>
              </w:rPr>
            </w:pP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820" w:type="dxa"/>
            <w:gridSpan w:val="9"/>
            <w:vAlign w:val="center"/>
          </w:tcPr>
          <w:p>
            <w:pPr>
              <w:rPr>
                <w:rFonts w:hint="eastAsia" w:ascii="宋体" w:hAnsi="宋体"/>
                <w:szCs w:val="21"/>
              </w:rPr>
            </w:pPr>
            <w:r>
              <w:rPr>
                <w:rFonts w:hint="eastAsia" w:ascii="宋体" w:hAnsi="宋体"/>
                <w:szCs w:val="21"/>
              </w:rPr>
              <w:t>对考生报考意见</w:t>
            </w:r>
          </w:p>
          <w:p>
            <w:pPr>
              <w:rPr>
                <w:rFonts w:hint="eastAsia" w:ascii="宋体" w:hAnsi="宋体"/>
                <w:szCs w:val="21"/>
              </w:rPr>
            </w:pPr>
          </w:p>
          <w:p>
            <w:pPr>
              <w:rPr>
                <w:rFonts w:hint="eastAsia" w:ascii="宋体" w:hAnsi="宋体"/>
                <w:szCs w:val="21"/>
              </w:rPr>
            </w:pPr>
          </w:p>
          <w:p>
            <w:pPr>
              <w:ind w:firstLine="5040" w:firstLineChars="2400"/>
              <w:rPr>
                <w:rFonts w:hint="eastAsia" w:ascii="宋体" w:hAnsi="宋体"/>
                <w:szCs w:val="21"/>
              </w:rPr>
            </w:pPr>
            <w:r>
              <w:rPr>
                <w:rFonts w:hint="eastAsia" w:ascii="宋体" w:hAnsi="宋体"/>
                <w:szCs w:val="21"/>
              </w:rPr>
              <w:t>考生所在单位盖章</w:t>
            </w:r>
          </w:p>
          <w:p>
            <w:pPr>
              <w:jc w:val="right"/>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820" w:type="dxa"/>
            <w:gridSpan w:val="9"/>
            <w:tcBorders>
              <w:bottom w:val="single" w:color="auto" w:sz="4" w:space="0"/>
            </w:tcBorders>
            <w:vAlign w:val="center"/>
          </w:tcPr>
          <w:p>
            <w:pPr>
              <w:jc w:val="right"/>
              <w:rPr>
                <w:rFonts w:hint="eastAsia" w:ascii="宋体" w:hAnsi="宋体"/>
                <w:szCs w:val="21"/>
              </w:rPr>
            </w:pPr>
          </w:p>
        </w:tc>
      </w:tr>
    </w:tbl>
    <w:p>
      <w:pPr>
        <w:rPr>
          <w:rFonts w:hint="eastAsia"/>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drawing>
        <wp:anchor distT="0" distB="0" distL="114300" distR="114300" simplePos="0" relativeHeight="251658240" behindDoc="1" locked="0" layoutInCell="1" allowOverlap="1">
          <wp:simplePos x="0" y="0"/>
          <wp:positionH relativeFrom="column">
            <wp:posOffset>556260</wp:posOffset>
          </wp:positionH>
          <wp:positionV relativeFrom="paragraph">
            <wp:posOffset>2541905</wp:posOffset>
          </wp:positionV>
          <wp:extent cx="4090670" cy="4090670"/>
          <wp:effectExtent l="0" t="0" r="5080" b="5080"/>
          <wp:wrapNone/>
          <wp:docPr id="2" name="图片 2"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南昌水印"/>
                  <pic:cNvPicPr>
                    <a:picLocks noChangeAspect="1"/>
                  </pic:cNvPicPr>
                </pic:nvPicPr>
                <pic:blipFill>
                  <a:blip r:embed="rId1"/>
                  <a:stretch>
                    <a:fillRect/>
                  </a:stretch>
                </pic:blipFill>
                <pic:spPr>
                  <a:xfrm>
                    <a:off x="0" y="0"/>
                    <a:ext cx="4090670" cy="40906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D6F53"/>
    <w:multiLevelType w:val="singleLevel"/>
    <w:tmpl w:val="918D6F5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624C1"/>
    <w:rsid w:val="00027B88"/>
    <w:rsid w:val="00096809"/>
    <w:rsid w:val="00283287"/>
    <w:rsid w:val="00426471"/>
    <w:rsid w:val="00594988"/>
    <w:rsid w:val="006D1B17"/>
    <w:rsid w:val="0074584D"/>
    <w:rsid w:val="007C00E1"/>
    <w:rsid w:val="00A21A1C"/>
    <w:rsid w:val="00C549F0"/>
    <w:rsid w:val="00CA7C97"/>
    <w:rsid w:val="00CE476F"/>
    <w:rsid w:val="00E41978"/>
    <w:rsid w:val="094419E6"/>
    <w:rsid w:val="0C891237"/>
    <w:rsid w:val="0D514CC0"/>
    <w:rsid w:val="0DFE78A9"/>
    <w:rsid w:val="11B46E27"/>
    <w:rsid w:val="14506E88"/>
    <w:rsid w:val="1CE5347D"/>
    <w:rsid w:val="2C2A107D"/>
    <w:rsid w:val="2CD229F6"/>
    <w:rsid w:val="37D624C1"/>
    <w:rsid w:val="3AF661A4"/>
    <w:rsid w:val="4AFB078E"/>
    <w:rsid w:val="4C3764AB"/>
    <w:rsid w:val="55AC51B1"/>
    <w:rsid w:val="5ADB745F"/>
    <w:rsid w:val="5D3D38EA"/>
    <w:rsid w:val="62545465"/>
    <w:rsid w:val="64D017A2"/>
    <w:rsid w:val="6D535020"/>
    <w:rsid w:val="72C1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FollowedHyperlink"/>
    <w:basedOn w:val="6"/>
    <w:qFormat/>
    <w:uiPriority w:val="0"/>
    <w:rPr>
      <w:color w:val="000000"/>
      <w:sz w:val="18"/>
      <w:szCs w:val="18"/>
      <w:u w:val="none"/>
    </w:rPr>
  </w:style>
  <w:style w:type="character" w:styleId="8">
    <w:name w:val="HTML Definition"/>
    <w:basedOn w:val="6"/>
    <w:uiPriority w:val="0"/>
  </w:style>
  <w:style w:type="character" w:styleId="9">
    <w:name w:val="HTML Acronym"/>
    <w:basedOn w:val="6"/>
    <w:qFormat/>
    <w:uiPriority w:val="0"/>
  </w:style>
  <w:style w:type="character" w:styleId="10">
    <w:name w:val="HTML Variable"/>
    <w:basedOn w:val="6"/>
    <w:qFormat/>
    <w:uiPriority w:val="0"/>
  </w:style>
  <w:style w:type="character" w:styleId="11">
    <w:name w:val="Hyperlink"/>
    <w:basedOn w:val="6"/>
    <w:qFormat/>
    <w:uiPriority w:val="0"/>
    <w:rPr>
      <w:color w:val="0000FF"/>
      <w:u w:val="none"/>
    </w:rPr>
  </w:style>
  <w:style w:type="character" w:styleId="12">
    <w:name w:val="HTML Code"/>
    <w:basedOn w:val="6"/>
    <w:qFormat/>
    <w:uiPriority w:val="0"/>
    <w:rPr>
      <w:rFonts w:ascii="Courier New" w:hAnsi="Courier New"/>
      <w:sz w:val="20"/>
    </w:rPr>
  </w:style>
  <w:style w:type="character" w:styleId="13">
    <w:name w:val="HTML Cite"/>
    <w:basedOn w:val="6"/>
    <w:qFormat/>
    <w:uiPriority w:val="0"/>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Sky123.Org</Company>
  <Pages>5</Pages>
  <Words>276</Words>
  <Characters>1575</Characters>
  <Lines>13</Lines>
  <Paragraphs>3</Paragraphs>
  <TotalTime>0</TotalTime>
  <ScaleCrop>false</ScaleCrop>
  <LinksUpToDate>false</LinksUpToDate>
  <CharactersWithSpaces>1848</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2018-09-06T02:10:00Z</dcterms:created>
  <dc:creator>北京-网络编辑-曹童童</dc:creator>
  <cp:lastModifiedBy>19152</cp:lastModifiedBy>
  <dcterms:modified xsi:type="dcterms:W3CDTF">2019-04-28T09:12:44Z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