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drawing>
          <wp:anchor distT="0" distB="0" distL="114300" distR="114300" simplePos="0" relativeHeight="251658240" behindDoc="0" locked="0" layoutInCell="1" allowOverlap="1">
            <wp:simplePos x="0" y="0"/>
            <wp:positionH relativeFrom="column">
              <wp:posOffset>1487170</wp:posOffset>
            </wp:positionH>
            <wp:positionV relativeFrom="paragraph">
              <wp:posOffset>-130175</wp:posOffset>
            </wp:positionV>
            <wp:extent cx="2286000" cy="723900"/>
            <wp:effectExtent l="0" t="0" r="0" b="0"/>
            <wp:wrapSquare wrapText="bothSides"/>
            <wp:docPr id="4" name="图片 4"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南昌大学法学院国际法学专业</w:t>
      </w:r>
    </w:p>
    <w:p>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同等学力申请硕士学位招生简章·</w:t>
      </w:r>
      <w:r>
        <w:rPr>
          <w:rFonts w:hint="eastAsia" w:ascii="宋体" w:hAnsi="宋体" w:eastAsia="宋体" w:cs="宋体"/>
          <w:b/>
          <w:bCs/>
          <w:sz w:val="24"/>
          <w:lang w:eastAsia="zh-CN"/>
        </w:rPr>
        <w:t>全国</w:t>
      </w:r>
    </w:p>
    <w:p>
      <w:pPr>
        <w:spacing w:line="360" w:lineRule="auto"/>
        <w:jc w:val="center"/>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法学院拥有1个社会治理与法治系统工程二级学科博士学位授权点、1个法学一级学科硕士学位授权点、非法学、法学2个法律硕士专业学位授权点、1个江西省品牌专业法学专业、刑法学、行政法与行政诉讼法学、刑事诉讼法学3门江西省优质课程。</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国际法学是对调整涉及国家之间的各种法律进行研究而形成的学科类别，包括国际公法学、国际私法学、国际经济法学、国际刑法学等。其任务是使学生掌握有关国际法的基本知识，增强对国际关系、国际法律原则和规则的认识和理解，提高分析问题和解决问题的能力。</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为适应社会发展和经济建设的需要，提高教育、科技、管理等方面专业人员的素质，多渠道地促进国际法学专业人才培养，经国务院学位委员会批准，特在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地区开展以研究生毕业国际法学专业同等学力申请硕士学位招生及培养工作。</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1、本专业培养熟悉国际公法、国际私法和国际经济法等的基本原理与专业知识，系统掌握各相关领域的基本理论、知识及法律规则的创新性、复合型实用人才；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2、具有良好国内法基础和深度国际法知识，可在国家立法机关、司法机关及其它各级国家机关、人民法院、人民检察院、企业事业单位、律师事务所等从事工作。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三、专业优势</w:t>
      </w:r>
    </w:p>
    <w:p>
      <w:pPr>
        <w:pStyle w:val="16"/>
        <w:spacing w:line="360" w:lineRule="auto"/>
        <w:ind w:left="420" w:firstLine="0" w:firstLineChars="0"/>
        <w:rPr>
          <w:rFonts w:ascii="宋体" w:hAnsi="宋体" w:eastAsia="宋体" w:cs="宋体"/>
          <w:szCs w:val="21"/>
        </w:rPr>
      </w:pPr>
      <w:r>
        <w:rPr>
          <w:rFonts w:hint="eastAsia" w:ascii="宋体" w:hAnsi="宋体" w:eastAsia="宋体" w:cs="宋体"/>
          <w:szCs w:val="21"/>
        </w:rPr>
        <w:t>【重点学科】南昌大学法学学科系江西省高校“十二五”重点学科；</w:t>
      </w:r>
    </w:p>
    <w:p>
      <w:pPr>
        <w:spacing w:line="360" w:lineRule="auto"/>
        <w:ind w:firstLine="420" w:firstLineChars="200"/>
        <w:rPr>
          <w:rFonts w:ascii="宋体" w:hAnsi="宋体" w:eastAsia="宋体" w:cs="宋体"/>
          <w:szCs w:val="21"/>
        </w:rPr>
      </w:pPr>
      <w:r>
        <w:rPr>
          <w:rFonts w:hint="eastAsia" w:ascii="宋体" w:hAnsi="宋体" w:eastAsia="宋体" w:cs="宋体"/>
          <w:szCs w:val="21"/>
        </w:rPr>
        <w:t>【含金量高】成绩合格颁发南昌大学法学硕士学位，学位网可查</w:t>
      </w:r>
      <w:r>
        <w:rPr>
          <w:rFonts w:ascii="宋体" w:hAnsi="宋体" w:eastAsia="宋体" w:cs="宋体"/>
          <w:szCs w:val="21"/>
        </w:rPr>
        <w:t>，</w:t>
      </w:r>
      <w:r>
        <w:rPr>
          <w:rFonts w:hint="eastAsia" w:ascii="宋体" w:hAnsi="宋体" w:eastAsia="宋体" w:cs="宋体"/>
          <w:szCs w:val="21"/>
        </w:rPr>
        <w:t>含金量高；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【性价比高】法学院同等学力申硕专业学费相较于其他211高校学费性价比高；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【灵活授课】设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【高通过率】设申硕考前辅导，360度全方位剖析考纲、考点，提高申硕通过率。</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公共课</w:t>
            </w:r>
          </w:p>
        </w:tc>
        <w:tc>
          <w:tcPr>
            <w:tcW w:w="5840" w:type="dxa"/>
            <w:vAlign w:val="center"/>
          </w:tcPr>
          <w:p>
            <w:pPr>
              <w:spacing w:line="360" w:lineRule="auto"/>
              <w:jc w:val="left"/>
              <w:rPr>
                <w:rFonts w:ascii="宋体" w:hAnsi="宋体" w:eastAsia="宋体" w:cs="宋体"/>
                <w:szCs w:val="21"/>
              </w:rPr>
            </w:pPr>
            <w:r>
              <w:rPr>
                <w:rFonts w:hint="eastAsia" w:ascii="宋体" w:hAnsi="宋体" w:eastAsia="宋体" w:cs="宋体"/>
                <w:szCs w:val="21"/>
              </w:rPr>
              <w:t>英语、中国特色社会主义理论与实践、自然辩证法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专业核心课</w:t>
            </w:r>
          </w:p>
        </w:tc>
        <w:tc>
          <w:tcPr>
            <w:tcW w:w="5840" w:type="dxa"/>
            <w:vAlign w:val="center"/>
          </w:tcPr>
          <w:p>
            <w:pPr>
              <w:spacing w:line="360" w:lineRule="auto"/>
              <w:jc w:val="left"/>
              <w:rPr>
                <w:rFonts w:ascii="宋体" w:hAnsi="宋体" w:eastAsia="宋体" w:cs="宋体"/>
                <w:szCs w:val="21"/>
              </w:rPr>
            </w:pPr>
            <w:r>
              <w:rPr>
                <w:rFonts w:hint="eastAsia" w:ascii="宋体" w:hAnsi="宋体" w:eastAsia="宋体" w:cs="宋体"/>
                <w:szCs w:val="21"/>
              </w:rPr>
              <w:t>国际公法、国际私法、法理学、国际经济法、法学英语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专业方向课</w:t>
            </w:r>
          </w:p>
        </w:tc>
        <w:tc>
          <w:tcPr>
            <w:tcW w:w="5840" w:type="dxa"/>
            <w:vAlign w:val="center"/>
          </w:tcPr>
          <w:p>
            <w:pPr>
              <w:spacing w:line="360" w:lineRule="auto"/>
              <w:jc w:val="left"/>
              <w:rPr>
                <w:rFonts w:ascii="宋体" w:hAnsi="宋体" w:eastAsia="宋体" w:cs="宋体"/>
                <w:szCs w:val="21"/>
              </w:rPr>
            </w:pPr>
            <w:r>
              <w:rPr>
                <w:rFonts w:hint="eastAsia" w:ascii="宋体" w:hAnsi="宋体" w:eastAsia="宋体" w:cs="宋体"/>
                <w:szCs w:val="21"/>
              </w:rPr>
              <w:t>国际金融法、国际税法、WTO法、国际人权法、国际刑法、</w:t>
            </w:r>
          </w:p>
          <w:p>
            <w:pPr>
              <w:spacing w:line="360" w:lineRule="auto"/>
              <w:jc w:val="left"/>
              <w:rPr>
                <w:rFonts w:ascii="宋体" w:hAnsi="宋体" w:eastAsia="宋体" w:cs="宋体"/>
                <w:szCs w:val="21"/>
              </w:rPr>
            </w:pPr>
            <w:r>
              <w:rPr>
                <w:rFonts w:hint="eastAsia" w:ascii="宋体" w:hAnsi="宋体" w:eastAsia="宋体" w:cs="宋体"/>
                <w:szCs w:val="21"/>
              </w:rPr>
              <w:t>国际条约法、国际民事诉讼与仲裁、国际商法、比较民法、</w:t>
            </w:r>
          </w:p>
          <w:p>
            <w:pPr>
              <w:spacing w:line="360" w:lineRule="auto"/>
              <w:jc w:val="left"/>
              <w:rPr>
                <w:rFonts w:ascii="宋体" w:hAnsi="宋体" w:eastAsia="宋体" w:cs="宋体"/>
                <w:szCs w:val="21"/>
              </w:rPr>
            </w:pPr>
            <w:r>
              <w:rPr>
                <w:rFonts w:hint="eastAsia" w:ascii="宋体" w:hAnsi="宋体" w:eastAsia="宋体" w:cs="宋体"/>
                <w:szCs w:val="21"/>
              </w:rPr>
              <w:t>国际关系史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研究方向</w:t>
            </w:r>
          </w:p>
        </w:tc>
        <w:tc>
          <w:tcPr>
            <w:tcW w:w="5840" w:type="dxa"/>
            <w:vAlign w:val="center"/>
          </w:tcPr>
          <w:p>
            <w:pPr>
              <w:spacing w:line="360" w:lineRule="auto"/>
              <w:jc w:val="left"/>
              <w:rPr>
                <w:rFonts w:ascii="宋体" w:hAnsi="宋体" w:eastAsia="宋体" w:cs="宋体"/>
                <w:szCs w:val="21"/>
              </w:rPr>
            </w:pPr>
            <w:r>
              <w:rPr>
                <w:rFonts w:hint="eastAsia" w:ascii="宋体" w:hAnsi="宋体" w:eastAsia="宋体" w:cs="宋体"/>
                <w:szCs w:val="21"/>
              </w:rPr>
              <w:t>国际经济法、国际（公）法、国际私法</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b/>
          <w:bCs/>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2</w:t>
      </w:r>
      <w:r>
        <w:rPr>
          <w:rFonts w:hint="eastAsia" w:ascii="宋体" w:hAnsi="宋体" w:eastAsia="宋体" w:cs="宋体"/>
          <w:szCs w:val="21"/>
        </w:rPr>
        <w:t>6000元。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bookmarkStart w:id="0" w:name="_GoBack"/>
      <w:bookmarkEnd w:id="0"/>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ind w:firstLine="120" w:firstLineChars="50"/>
        <w:rPr>
          <w:rFonts w:hint="eastAsia" w:ascii="宋体" w:hAnsi="宋体"/>
          <w:sz w:val="24"/>
        </w:rPr>
      </w:pPr>
      <w:r>
        <w:rPr>
          <w:rFonts w:hint="eastAsia" w:ascii="宋体" w:hAnsi="宋体"/>
          <w:sz w:val="24"/>
        </w:rPr>
        <w:t>学号：_________________</w:t>
      </w:r>
    </w:p>
    <w:p>
      <w:pPr>
        <w:ind w:firstLine="360" w:firstLineChars="150"/>
        <w:rPr>
          <w:rFonts w:hint="eastAsia" w:ascii="黑体" w:hAnsi="宋体" w:eastAsia="黑体"/>
          <w:sz w:val="32"/>
          <w:szCs w:val="32"/>
        </w:rPr>
      </w:pPr>
      <w:r>
        <w:rPr>
          <w:rFonts w:hint="eastAsia" w:ascii="宋体" w:hAnsi="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pPr>
                              <w:widowControl/>
                              <w:rPr>
                                <w:rFonts w:hint="eastAsia"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pt;margin-top:1.95pt;height:24pt;width:115.45pt;z-index:251660288;mso-width-relative:page;mso-height-relative:page;" fillcolor="#FFFFFF" filled="t" stroked="t" coordsize="21600,2160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4cxyW1wAAAAgBAAAPAAAAAAAAAAEAIAAAACIAAABkcnMvZG93bnJldi54bWxQSwECFAAUAAAA&#10;CACHTuJAGFjeICgCAABHBAAADgAAAAAAAAABACAAAAAmAQAAZHJzL2Uyb0RvYy54bWxQSwUGAAAA&#10;AAYABgBZAQAAwAUAAAAA&#10;">
                <v:fill on="t" focussize="0,0"/>
                <v:stroke color="#FFFFFF" miterlimit="8" joinstyle="miter"/>
                <v:imagedata o:title=""/>
                <o:lock v:ext="edit" aspectratio="f"/>
                <v:textbox>
                  <w:txbxContent>
                    <w:p>
                      <w:pPr>
                        <w:widowControl/>
                        <w:rPr>
                          <w:rFonts w:hint="eastAsia" w:ascii="宋体" w:hAnsi="宋体" w:cs="宋体"/>
                          <w:color w:val="000000"/>
                          <w:kern w:val="0"/>
                          <w:szCs w:val="21"/>
                        </w:rPr>
                      </w:pPr>
                    </w:p>
                  </w:txbxContent>
                </v:textbox>
              </v:shape>
            </w:pict>
          </mc:Fallback>
        </mc:AlternateContent>
      </w:r>
      <w:r>
        <w:rPr>
          <w:rFonts w:hint="eastAsia" w:ascii="宋体" w:hAnsi="宋体"/>
          <w:sz w:val="24"/>
        </w:rPr>
        <w:t xml:space="preserve"> </w:t>
      </w:r>
      <w:r>
        <w:rPr>
          <w:rFonts w:hint="eastAsia" w:ascii="宋体" w:hAnsi="宋体"/>
          <w:b/>
          <w:sz w:val="36"/>
          <w:szCs w:val="36"/>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60288" behindDoc="1" locked="0" layoutInCell="1" allowOverlap="1">
          <wp:simplePos x="0" y="0"/>
          <wp:positionH relativeFrom="column">
            <wp:posOffset>652780</wp:posOffset>
          </wp:positionH>
          <wp:positionV relativeFrom="paragraph">
            <wp:posOffset>1817370</wp:posOffset>
          </wp:positionV>
          <wp:extent cx="3951605" cy="3951605"/>
          <wp:effectExtent l="0" t="0" r="10795" b="1079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3951605" cy="39516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205D"/>
    <w:rsid w:val="00020E94"/>
    <w:rsid w:val="00083CB4"/>
    <w:rsid w:val="000E39B4"/>
    <w:rsid w:val="00224973"/>
    <w:rsid w:val="00887159"/>
    <w:rsid w:val="008F3B6D"/>
    <w:rsid w:val="009270BA"/>
    <w:rsid w:val="009F4FC6"/>
    <w:rsid w:val="00A6683F"/>
    <w:rsid w:val="00AC6E4C"/>
    <w:rsid w:val="02F71F89"/>
    <w:rsid w:val="096148EF"/>
    <w:rsid w:val="148C7CD4"/>
    <w:rsid w:val="17D40CCF"/>
    <w:rsid w:val="270B7EF5"/>
    <w:rsid w:val="29E67819"/>
    <w:rsid w:val="29FC5AE2"/>
    <w:rsid w:val="318F7929"/>
    <w:rsid w:val="4F623A97"/>
    <w:rsid w:val="52E42420"/>
    <w:rsid w:val="555109DE"/>
    <w:rsid w:val="5E837EED"/>
    <w:rsid w:val="6039205D"/>
    <w:rsid w:val="68EC5F03"/>
    <w:rsid w:val="6B811437"/>
    <w:rsid w:val="6D535020"/>
    <w:rsid w:val="70592D45"/>
    <w:rsid w:val="7CEC5129"/>
    <w:rsid w:val="7E03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00"/>
      <w:sz w:val="18"/>
      <w:szCs w:val="18"/>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show"/>
    <w:basedOn w:val="6"/>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5</Pages>
  <Words>291</Words>
  <Characters>1659</Characters>
  <Lines>13</Lines>
  <Paragraphs>3</Paragraphs>
  <TotalTime>5</TotalTime>
  <ScaleCrop>false</ScaleCrop>
  <LinksUpToDate>false</LinksUpToDate>
  <CharactersWithSpaces>1947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2018-09-06T07:40:00Z</dcterms:created>
  <dc:creator>北京-网络编辑-曹童童</dc:creator>
  <cp:lastModifiedBy>19152</cp:lastModifiedBy>
  <dcterms:modified xsi:type="dcterms:W3CDTF">2019-04-28T09:13:07Z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KSORubyTemplateID" linkTarget="0">
    <vt:lpwstr>6</vt:lpwstr>
  </property>
</Properties>
</file>