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drawing>
          <wp:anchor distT="0" distB="0" distL="114300" distR="114300" simplePos="0" relativeHeight="251658240" behindDoc="0" locked="0" layoutInCell="1" allowOverlap="1">
            <wp:simplePos x="0" y="0"/>
            <wp:positionH relativeFrom="column">
              <wp:posOffset>1486535</wp:posOffset>
            </wp:positionH>
            <wp:positionV relativeFrom="paragraph">
              <wp:posOffset>-134620</wp:posOffset>
            </wp:positionV>
            <wp:extent cx="2286000" cy="723900"/>
            <wp:effectExtent l="0" t="0" r="0" b="0"/>
            <wp:wrapSquare wrapText="bothSides"/>
            <wp:docPr id="2" name="图片 2"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4"/>
        </w:rPr>
      </w:pPr>
    </w:p>
    <w:p>
      <w:pPr>
        <w:spacing w:line="360" w:lineRule="auto"/>
        <w:jc w:val="center"/>
        <w:rPr>
          <w:rFonts w:ascii="宋体" w:hAnsi="宋体" w:eastAsia="宋体" w:cs="宋体"/>
          <w:b/>
          <w:bCs/>
          <w:sz w:val="24"/>
        </w:rPr>
      </w:pPr>
      <w:r>
        <w:rPr>
          <w:rFonts w:hint="eastAsia" w:ascii="宋体" w:hAnsi="宋体" w:eastAsia="宋体" w:cs="宋体"/>
          <w:b/>
          <w:bCs/>
          <w:sz w:val="24"/>
        </w:rPr>
        <w:t>南昌大学法学院民商法学专业</w:t>
      </w:r>
    </w:p>
    <w:p>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同等学力申请硕士学位招生简章·</w:t>
      </w:r>
      <w:r>
        <w:rPr>
          <w:rFonts w:hint="eastAsia" w:ascii="宋体" w:hAnsi="宋体" w:eastAsia="宋体" w:cs="宋体"/>
          <w:b/>
          <w:bCs/>
          <w:sz w:val="24"/>
          <w:lang w:eastAsia="zh-CN"/>
        </w:rPr>
        <w:t>全国</w:t>
      </w:r>
    </w:p>
    <w:p>
      <w:pPr>
        <w:spacing w:line="360" w:lineRule="auto"/>
        <w:jc w:val="center"/>
        <w:rPr>
          <w:rFonts w:ascii="宋体" w:hAnsi="宋体" w:eastAsia="宋体" w:cs="宋体"/>
          <w:color w:val="C00000"/>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法学院拥有1个社会治理与法治系统工程二级学科博士学位授权点、1个法学一级学科硕士学位授权点、非法学、法学2个法律硕士专业学位授权点、1个江西省品牌专业法学专业、刑法学、行政法与行政诉讼法学、刑事诉讼法学3门江西省优质课程。</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民商法是我国法律体系中极为重要的基本法，与社会生活、经济发展的联系最为密切。学生主要学习法学的理论和知识，受到法学思维和法律实务的训练，毕业生以理论基础扎实、综合素质高、适应能力强而著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为适应社会发展和经济建设的需要，提高教育、科技、管理等方面专业人员的素质，多渠道地促进民商法学专业人才培养，经国务院学位委员会批准，特在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地区开展以研究生毕业民商法学专业同等学力申请硕士学位招生及培养工作。</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1、本专业培养在民商法领域中潜心研究，有真知灼见和较高理论水平的研究型人才，以及能够熟练运用法律规则解决实际问题的实务型人才；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2、通过学习使学员具备坚实的专业基础理论和系统的专业知识，并提高科学研究能力，课程学习成绩合格者可申请本专业硕士学位。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三、专业优势</w:t>
      </w:r>
    </w:p>
    <w:p>
      <w:pPr>
        <w:pStyle w:val="11"/>
        <w:spacing w:line="360" w:lineRule="auto"/>
        <w:ind w:left="420" w:firstLine="0" w:firstLineChars="0"/>
        <w:rPr>
          <w:rFonts w:ascii="宋体" w:hAnsi="宋体" w:eastAsia="宋体" w:cs="宋体"/>
          <w:szCs w:val="21"/>
        </w:rPr>
      </w:pPr>
      <w:r>
        <w:rPr>
          <w:rFonts w:hint="eastAsia" w:ascii="宋体" w:hAnsi="宋体" w:eastAsia="宋体" w:cs="宋体"/>
          <w:szCs w:val="21"/>
        </w:rPr>
        <w:t>【重点学科】南昌大学法学学科系江西省高校“十二五”重点学科；</w:t>
      </w:r>
    </w:p>
    <w:p>
      <w:pPr>
        <w:spacing w:line="360" w:lineRule="auto"/>
        <w:ind w:firstLine="420" w:firstLineChars="200"/>
        <w:rPr>
          <w:rFonts w:ascii="宋体" w:hAnsi="宋体" w:eastAsia="宋体" w:cs="宋体"/>
          <w:szCs w:val="21"/>
        </w:rPr>
      </w:pPr>
      <w:r>
        <w:rPr>
          <w:rFonts w:hint="eastAsia" w:ascii="宋体" w:hAnsi="宋体" w:eastAsia="宋体" w:cs="宋体"/>
          <w:szCs w:val="21"/>
        </w:rPr>
        <w:t>【含金量高】成绩合格颁发南昌大学法学硕士学位，学位网可查</w:t>
      </w:r>
      <w:r>
        <w:rPr>
          <w:rFonts w:ascii="宋体" w:hAnsi="宋体" w:eastAsia="宋体" w:cs="宋体"/>
          <w:szCs w:val="21"/>
        </w:rPr>
        <w:t>，</w:t>
      </w:r>
      <w:r>
        <w:rPr>
          <w:rFonts w:hint="eastAsia" w:ascii="宋体" w:hAnsi="宋体" w:eastAsia="宋体" w:cs="宋体"/>
          <w:szCs w:val="21"/>
        </w:rPr>
        <w:t>含金量高；</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【性价比高】法学院同等学力申硕专业学费相较于其他211高校学费性价比高；</w:t>
      </w:r>
    </w:p>
    <w:p>
      <w:pPr>
        <w:spacing w:line="360" w:lineRule="auto"/>
        <w:ind w:firstLine="420" w:firstLineChars="200"/>
        <w:rPr>
          <w:rFonts w:ascii="宋体" w:hAnsi="宋体" w:eastAsia="宋体" w:cs="宋体"/>
          <w:szCs w:val="21"/>
        </w:rPr>
      </w:pPr>
      <w:r>
        <w:rPr>
          <w:rFonts w:hint="eastAsia" w:ascii="宋体" w:hAnsi="宋体" w:eastAsia="宋体" w:cs="宋体"/>
          <w:szCs w:val="21"/>
        </w:rPr>
        <w:t>【灵活授课】设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【高通过率】设申硕考前辅导，360度全方位剖析考纲、考点，提高申硕通过率。</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6"/>
        <w:tblW w:w="7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582"/>
      </w:tblGrid>
      <w:tr>
        <w:tblPrEx>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公共课</w:t>
            </w:r>
          </w:p>
        </w:tc>
        <w:tc>
          <w:tcPr>
            <w:tcW w:w="5582" w:type="dxa"/>
            <w:vAlign w:val="center"/>
          </w:tcPr>
          <w:p>
            <w:pPr>
              <w:spacing w:line="360" w:lineRule="auto"/>
              <w:rPr>
                <w:rFonts w:ascii="宋体" w:hAnsi="宋体" w:eastAsia="宋体" w:cs="宋体"/>
                <w:szCs w:val="21"/>
              </w:rPr>
            </w:pPr>
            <w:r>
              <w:rPr>
                <w:rFonts w:hint="eastAsia" w:ascii="宋体" w:hAnsi="宋体" w:eastAsia="宋体" w:cs="宋体"/>
                <w:szCs w:val="21"/>
              </w:rPr>
              <w:t>英语、中国特色社会主义理论与实践、自然辩证法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专业核心课</w:t>
            </w:r>
          </w:p>
        </w:tc>
        <w:tc>
          <w:tcPr>
            <w:tcW w:w="5582" w:type="dxa"/>
            <w:vAlign w:val="center"/>
          </w:tcPr>
          <w:p>
            <w:pPr>
              <w:spacing w:line="360" w:lineRule="auto"/>
              <w:rPr>
                <w:rFonts w:ascii="宋体" w:hAnsi="宋体" w:eastAsia="宋体" w:cs="宋体"/>
                <w:szCs w:val="21"/>
              </w:rPr>
            </w:pPr>
            <w:r>
              <w:rPr>
                <w:rFonts w:hint="eastAsia" w:ascii="宋体" w:hAnsi="宋体" w:eastAsia="宋体" w:cs="宋体"/>
                <w:szCs w:val="21"/>
              </w:rPr>
              <w:t>法理学、民法总论研究、债法总论研究、知识产权研究、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专业方向课</w:t>
            </w:r>
          </w:p>
        </w:tc>
        <w:tc>
          <w:tcPr>
            <w:tcW w:w="5582" w:type="dxa"/>
            <w:vAlign w:val="center"/>
          </w:tcPr>
          <w:p>
            <w:pPr>
              <w:spacing w:line="360" w:lineRule="auto"/>
              <w:rPr>
                <w:rFonts w:ascii="宋体" w:hAnsi="宋体" w:eastAsia="宋体" w:cs="宋体"/>
                <w:szCs w:val="21"/>
              </w:rPr>
            </w:pPr>
            <w:r>
              <w:rPr>
                <w:rFonts w:hint="eastAsia" w:ascii="宋体" w:hAnsi="宋体" w:eastAsia="宋体" w:cs="宋体"/>
                <w:szCs w:val="21"/>
              </w:rPr>
              <w:t>民商法前沿问题研究、比较民法、公司法研究、侵权法研究、债法各论研究、物权法研究、商法研究、知识产权专题研究、</w:t>
            </w:r>
          </w:p>
          <w:p>
            <w:pPr>
              <w:spacing w:line="360" w:lineRule="auto"/>
              <w:rPr>
                <w:rFonts w:ascii="宋体" w:hAnsi="宋体" w:eastAsia="宋体" w:cs="宋体"/>
                <w:szCs w:val="21"/>
              </w:rPr>
            </w:pPr>
            <w:r>
              <w:rPr>
                <w:rFonts w:hint="eastAsia" w:ascii="宋体" w:hAnsi="宋体" w:eastAsia="宋体" w:cs="宋体"/>
                <w:szCs w:val="21"/>
              </w:rPr>
              <w:t>外国知识产权法研究、第二外国语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研究方向</w:t>
            </w:r>
          </w:p>
        </w:tc>
        <w:tc>
          <w:tcPr>
            <w:tcW w:w="5582" w:type="dxa"/>
            <w:vAlign w:val="center"/>
          </w:tcPr>
          <w:p>
            <w:pPr>
              <w:spacing w:line="360" w:lineRule="auto"/>
              <w:rPr>
                <w:rFonts w:ascii="宋体" w:hAnsi="宋体" w:eastAsia="宋体" w:cs="宋体"/>
                <w:szCs w:val="21"/>
              </w:rPr>
            </w:pPr>
            <w:r>
              <w:rPr>
                <w:rFonts w:hint="eastAsia" w:ascii="宋体" w:hAnsi="宋体" w:eastAsia="宋体" w:cs="宋体"/>
                <w:szCs w:val="21"/>
              </w:rPr>
              <w:t>民法学、商法学、知识产权法学、</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2</w:t>
      </w:r>
      <w:r>
        <w:rPr>
          <w:rFonts w:hint="eastAsia" w:ascii="宋体" w:hAnsi="宋体" w:eastAsia="宋体" w:cs="宋体"/>
          <w:szCs w:val="21"/>
        </w:rPr>
        <w:t>6000元。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120" w:firstLineChars="50"/>
        <w:rPr>
          <w:rFonts w:hint="eastAsia" w:ascii="宋体" w:hAnsi="宋体"/>
          <w:sz w:val="24"/>
        </w:rPr>
      </w:pPr>
      <w:r>
        <w:rPr>
          <w:rFonts w:hint="eastAsia" w:ascii="宋体" w:hAnsi="宋体"/>
          <w:sz w:val="24"/>
        </w:rPr>
        <w:t>学号：_________________</w:t>
      </w:r>
    </w:p>
    <w:p>
      <w:pPr>
        <w:ind w:firstLine="360" w:firstLineChars="150"/>
        <w:rPr>
          <w:rFonts w:hint="eastAsia" w:ascii="黑体" w:hAnsi="宋体" w:eastAsia="黑体"/>
          <w:sz w:val="32"/>
          <w:szCs w:val="32"/>
        </w:rPr>
      </w:pPr>
      <w:r>
        <w:rPr>
          <w:rFonts w:hint="eastAsia" w:ascii="宋体" w:hAnsi="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pPr>
                              <w:widowControl/>
                              <w:rPr>
                                <w:rFonts w:hint="eastAsia"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4pt;margin-top:1.95pt;height:24pt;width:115.45pt;z-index:251660288;mso-width-relative:page;mso-height-relative:page;" fillcolor="#FFFFFF" filled="t" stroked="t" coordsize="21600,2160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hzHJbXAAAACAEAAA8AAAAAAAAAAQAgAAAAIgAAAGRycy9kb3ducmV2LnhtbFBLAQIUABQAAAAI&#10;AIdO4kAHMtkwJwIAAEcEAAAOAAAAAAAAAAEAIAAAACYBAABkcnMvZTJvRG9jLnhtbFBLBQYAAAAA&#10;BgAGAFkBAAC/BQAAAAA=&#10;">
                <v:fill on="t" focussize="0,0"/>
                <v:stroke color="#FFFFFF" miterlimit="8" joinstyle="miter"/>
                <v:imagedata o:title=""/>
                <o:lock v:ext="edit" aspectratio="f"/>
                <v:textbox>
                  <w:txbxContent>
                    <w:p>
                      <w:pPr>
                        <w:widowControl/>
                        <w:rPr>
                          <w:rFonts w:hint="eastAsia" w:ascii="宋体" w:hAnsi="宋体" w:cs="宋体"/>
                          <w:color w:val="000000"/>
                          <w:kern w:val="0"/>
                          <w:szCs w:val="21"/>
                        </w:rPr>
                      </w:pPr>
                    </w:p>
                  </w:txbxContent>
                </v:textbox>
              </v:shape>
            </w:pict>
          </mc:Fallback>
        </mc:AlternateContent>
      </w:r>
      <w:r>
        <w:rPr>
          <w:rFonts w:hint="eastAsia" w:ascii="宋体" w:hAnsi="宋体"/>
          <w:sz w:val="24"/>
        </w:rPr>
        <w:t xml:space="preserve"> </w:t>
      </w:r>
      <w:r>
        <w:rPr>
          <w:rFonts w:hint="eastAsia" w:ascii="宋体" w:hAnsi="宋体"/>
          <w:b/>
          <w:sz w:val="36"/>
          <w:szCs w:val="36"/>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5"/>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615315</wp:posOffset>
          </wp:positionH>
          <wp:positionV relativeFrom="paragraph">
            <wp:posOffset>2806065</wp:posOffset>
          </wp:positionV>
          <wp:extent cx="3834765" cy="3834765"/>
          <wp:effectExtent l="0" t="0" r="13335" b="13335"/>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834765" cy="38347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E43E2"/>
    <w:rsid w:val="001056CE"/>
    <w:rsid w:val="002A1C2B"/>
    <w:rsid w:val="004774E4"/>
    <w:rsid w:val="006D54DF"/>
    <w:rsid w:val="008F1B3B"/>
    <w:rsid w:val="009D4B8A"/>
    <w:rsid w:val="00B35728"/>
    <w:rsid w:val="00DF0043"/>
    <w:rsid w:val="059F7155"/>
    <w:rsid w:val="07321737"/>
    <w:rsid w:val="15207999"/>
    <w:rsid w:val="1F3E43E2"/>
    <w:rsid w:val="20C760A0"/>
    <w:rsid w:val="2A6D66A9"/>
    <w:rsid w:val="4A6D763B"/>
    <w:rsid w:val="4DFC1F09"/>
    <w:rsid w:val="5650297E"/>
    <w:rsid w:val="5F636D37"/>
    <w:rsid w:val="6383619E"/>
    <w:rsid w:val="649007D8"/>
    <w:rsid w:val="64A13522"/>
    <w:rsid w:val="6D535020"/>
    <w:rsid w:val="7C36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000000"/>
      <w:sz w:val="18"/>
      <w:szCs w:val="18"/>
      <w:u w:val="none"/>
    </w:rPr>
  </w:style>
  <w:style w:type="character" w:styleId="9">
    <w:name w:val="Hyperlink"/>
    <w:basedOn w:val="7"/>
    <w:qFormat/>
    <w:uiPriority w:val="0"/>
    <w:rPr>
      <w:color w:val="000000"/>
      <w:sz w:val="18"/>
      <w:szCs w:val="18"/>
      <w:u w:val="none"/>
    </w:rPr>
  </w:style>
  <w:style w:type="paragraph" w:customStyle="1" w:styleId="10">
    <w:name w:val="标准"/>
    <w:basedOn w:val="1"/>
    <w:qFormat/>
    <w:uiPriority w:val="0"/>
    <w:pPr>
      <w:adjustRightInd w:val="0"/>
      <w:spacing w:before="120" w:after="120" w:line="312" w:lineRule="atLeast"/>
      <w:textAlignment w:val="baseline"/>
    </w:pPr>
    <w:rPr>
      <w:rFonts w:ascii="宋体"/>
      <w:kern w:val="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5</Pages>
  <Words>284</Words>
  <Characters>1620</Characters>
  <Lines>13</Lines>
  <Paragraphs>3</Paragraphs>
  <TotalTime>0</TotalTime>
  <ScaleCrop>false</ScaleCrop>
  <LinksUpToDate>false</LinksUpToDate>
  <CharactersWithSpaces>1901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2018-09-06T06:40:00Z</dcterms:created>
  <dc:creator>北京-网络编辑-曹童童</dc:creator>
  <cp:lastModifiedBy>19152</cp:lastModifiedBy>
  <dcterms:modified xsi:type="dcterms:W3CDTF">2019-04-28T09:13:38Z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