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drawing>
          <wp:anchor distT="0" distB="0" distL="114300" distR="114300" simplePos="0" relativeHeight="251658240" behindDoc="0" locked="0" layoutInCell="1" allowOverlap="1">
            <wp:simplePos x="0" y="0"/>
            <wp:positionH relativeFrom="column">
              <wp:posOffset>1478915</wp:posOffset>
            </wp:positionH>
            <wp:positionV relativeFrom="paragraph">
              <wp:posOffset>-156210</wp:posOffset>
            </wp:positionV>
            <wp:extent cx="2286000" cy="723900"/>
            <wp:effectExtent l="0" t="0" r="0" b="0"/>
            <wp:wrapSquare wrapText="bothSides"/>
            <wp:docPr id="2" name="图片 2"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南昌大学法学院诉讼法学专业</w:t>
      </w:r>
    </w:p>
    <w:p>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同等学力申请硕士学位招生简章·</w:t>
      </w:r>
      <w:r>
        <w:rPr>
          <w:rFonts w:hint="eastAsia" w:ascii="宋体" w:hAnsi="宋体" w:eastAsia="宋体" w:cs="宋体"/>
          <w:b/>
          <w:bCs/>
          <w:sz w:val="24"/>
          <w:lang w:eastAsia="zh-CN"/>
        </w:rPr>
        <w:t>全国</w:t>
      </w: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法学院拥有1个社会治理与法治系统工程二级学科博士学位授权点、1个法学一级学科硕士学位授权点、非法学、法学2个法律硕士专业学位授权点、1个江西省品牌专业法学专业、刑法学、行政法与行政诉讼法学、刑事诉讼法学3门江西省优质课程。</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诉讼法指的是规定诉讼程序的法律的总称，是打官司时所应遵循的行为规范。诉讼法是典型的法律程序法。在中国有三大诉讼法，分别是民事诉讼法、刑事诉讼法、行政诉讼法。在法治比较发达的国家，除了以上三大诉讼法外，一般还有宪法诉讼。</w:t>
      </w:r>
    </w:p>
    <w:p>
      <w:pPr>
        <w:spacing w:line="360" w:lineRule="auto"/>
        <w:ind w:firstLine="210" w:firstLineChars="1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为适应社会发展和经济建设的需要，提高教育、科技、管理等方面专业人员的素质，多渠道地促进诉讼法学专业人才培养，经国务院学位委员会批准，特在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地区开展以研究生毕业诉讼法学专业同等学力申请硕士学位招生及培养工作。</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1、本专业培养系统地掌握诉讼法学的基础理论、基础原理和现行法律制度，具备独立思考、逻辑思维和开创新的研究能力和高质高效从事法律工作的能力的高级专门人才；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2、毕业后能从事诉讼法学教学、科研以及立法、司法等实务工作。 </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三、专业优势</w:t>
      </w:r>
    </w:p>
    <w:p>
      <w:pPr>
        <w:pStyle w:val="9"/>
        <w:spacing w:line="360" w:lineRule="auto"/>
        <w:ind w:left="420" w:firstLine="0" w:firstLineChars="0"/>
        <w:rPr>
          <w:rFonts w:ascii="宋体" w:hAnsi="宋体" w:eastAsia="宋体" w:cs="宋体"/>
          <w:szCs w:val="21"/>
        </w:rPr>
      </w:pPr>
      <w:r>
        <w:rPr>
          <w:rFonts w:hint="eastAsia" w:ascii="宋体" w:hAnsi="宋体" w:eastAsia="宋体" w:cs="宋体"/>
          <w:szCs w:val="21"/>
        </w:rPr>
        <w:t>【重点学科】南昌大学法学学科系江西省高校“十二五”重点学科；</w:t>
      </w:r>
    </w:p>
    <w:p>
      <w:pPr>
        <w:spacing w:line="360" w:lineRule="auto"/>
        <w:ind w:firstLine="420" w:firstLineChars="200"/>
        <w:rPr>
          <w:rFonts w:ascii="宋体" w:hAnsi="宋体" w:eastAsia="宋体" w:cs="宋体"/>
          <w:szCs w:val="21"/>
        </w:rPr>
      </w:pPr>
      <w:r>
        <w:rPr>
          <w:rFonts w:hint="eastAsia" w:ascii="宋体" w:hAnsi="宋体" w:eastAsia="宋体" w:cs="宋体"/>
          <w:szCs w:val="21"/>
        </w:rPr>
        <w:t>【含金量高】成绩合格颁发南昌大学法学硕士学位，学位网可查</w:t>
      </w:r>
      <w:r>
        <w:rPr>
          <w:rFonts w:ascii="宋体" w:hAnsi="宋体" w:eastAsia="宋体" w:cs="宋体"/>
          <w:szCs w:val="21"/>
        </w:rPr>
        <w:t>，</w:t>
      </w:r>
      <w:r>
        <w:rPr>
          <w:rFonts w:hint="eastAsia" w:ascii="宋体" w:hAnsi="宋体" w:eastAsia="宋体" w:cs="宋体"/>
          <w:szCs w:val="21"/>
        </w:rPr>
        <w:t>含金量高；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【性价比高】法学院同等学力申硕专业学费相较于其他211高校学费性价比高；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【灵活授课】设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【高通过率】设申硕考前辅导，360度全方位剖析考纲、考点，提高申硕通过率。</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公共课</w:t>
            </w:r>
          </w:p>
        </w:tc>
        <w:tc>
          <w:tcPr>
            <w:tcW w:w="5615" w:type="dxa"/>
            <w:vAlign w:val="center"/>
          </w:tcPr>
          <w:p>
            <w:pPr>
              <w:spacing w:line="360" w:lineRule="auto"/>
              <w:jc w:val="left"/>
              <w:rPr>
                <w:rFonts w:ascii="宋体" w:hAnsi="宋体" w:eastAsia="宋体" w:cs="宋体"/>
                <w:szCs w:val="21"/>
              </w:rPr>
            </w:pPr>
            <w:r>
              <w:rPr>
                <w:rFonts w:hint="eastAsia" w:ascii="宋体" w:hAnsi="宋体" w:eastAsia="宋体" w:cs="宋体"/>
                <w:szCs w:val="21"/>
              </w:rPr>
              <w:t>英语、中国特色社会主义理论与实践、自然辩证法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专业核心课</w:t>
            </w:r>
          </w:p>
        </w:tc>
        <w:tc>
          <w:tcPr>
            <w:tcW w:w="5615" w:type="dxa"/>
            <w:vAlign w:val="center"/>
          </w:tcPr>
          <w:p>
            <w:pPr>
              <w:spacing w:line="360" w:lineRule="auto"/>
              <w:jc w:val="left"/>
              <w:rPr>
                <w:rFonts w:ascii="宋体" w:hAnsi="宋体" w:eastAsia="宋体" w:cs="宋体"/>
                <w:b/>
                <w:bCs/>
                <w:szCs w:val="21"/>
              </w:rPr>
            </w:pPr>
            <w:r>
              <w:rPr>
                <w:rFonts w:hint="eastAsia" w:ascii="宋体" w:hAnsi="宋体" w:eastAsia="宋体" w:cs="宋体"/>
                <w:szCs w:val="21"/>
              </w:rPr>
              <w:t>法理学、民事诉讼法学、刑事诉讼法学、行政诉讼法学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专业方向课</w:t>
            </w:r>
          </w:p>
        </w:tc>
        <w:tc>
          <w:tcPr>
            <w:tcW w:w="5615" w:type="dxa"/>
            <w:vAlign w:val="center"/>
          </w:tcPr>
          <w:p>
            <w:pPr>
              <w:spacing w:line="360" w:lineRule="auto"/>
              <w:jc w:val="left"/>
              <w:rPr>
                <w:rFonts w:ascii="宋体" w:hAnsi="宋体" w:eastAsia="宋体" w:cs="宋体"/>
                <w:szCs w:val="21"/>
              </w:rPr>
            </w:pPr>
            <w:r>
              <w:rPr>
                <w:rFonts w:hint="eastAsia" w:ascii="宋体" w:hAnsi="宋体" w:eastAsia="宋体" w:cs="宋体"/>
                <w:szCs w:val="21"/>
              </w:rPr>
              <w:t>证据学、外国民事诉讼法学、外国刑事诉讼法学、</w:t>
            </w:r>
          </w:p>
          <w:p>
            <w:pPr>
              <w:spacing w:line="360" w:lineRule="auto"/>
              <w:jc w:val="left"/>
              <w:rPr>
                <w:rFonts w:ascii="宋体" w:hAnsi="宋体" w:eastAsia="宋体" w:cs="宋体"/>
                <w:szCs w:val="21"/>
              </w:rPr>
            </w:pPr>
            <w:r>
              <w:rPr>
                <w:rFonts w:hint="eastAsia" w:ascii="宋体" w:hAnsi="宋体" w:eastAsia="宋体" w:cs="宋体"/>
                <w:szCs w:val="21"/>
              </w:rPr>
              <w:t>中外司法制度比较研究、侦查学与物证技术学、</w:t>
            </w:r>
          </w:p>
          <w:p>
            <w:pPr>
              <w:spacing w:line="360" w:lineRule="auto"/>
              <w:jc w:val="left"/>
              <w:rPr>
                <w:rFonts w:ascii="宋体" w:hAnsi="宋体" w:eastAsia="宋体" w:cs="宋体"/>
                <w:szCs w:val="21"/>
              </w:rPr>
            </w:pPr>
            <w:r>
              <w:rPr>
                <w:rFonts w:hint="eastAsia" w:ascii="宋体" w:hAnsi="宋体" w:eastAsia="宋体" w:cs="宋体"/>
                <w:szCs w:val="21"/>
              </w:rPr>
              <w:t>诉讼法制度史、诉讼法学术前沿讲座、刑法学研究、</w:t>
            </w:r>
          </w:p>
          <w:p>
            <w:pPr>
              <w:spacing w:line="360" w:lineRule="auto"/>
              <w:jc w:val="left"/>
              <w:rPr>
                <w:rFonts w:ascii="宋体" w:hAnsi="宋体" w:eastAsia="宋体" w:cs="宋体"/>
                <w:szCs w:val="21"/>
              </w:rPr>
            </w:pPr>
            <w:r>
              <w:rPr>
                <w:rFonts w:hint="eastAsia" w:ascii="宋体" w:hAnsi="宋体" w:eastAsia="宋体" w:cs="宋体"/>
                <w:szCs w:val="21"/>
              </w:rPr>
              <w:t>民法学研究、第二外国语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研究方向</w:t>
            </w:r>
          </w:p>
        </w:tc>
        <w:tc>
          <w:tcPr>
            <w:tcW w:w="5615" w:type="dxa"/>
            <w:vAlign w:val="center"/>
          </w:tcPr>
          <w:p>
            <w:pPr>
              <w:spacing w:line="360" w:lineRule="auto"/>
              <w:jc w:val="left"/>
              <w:rPr>
                <w:rFonts w:ascii="宋体" w:hAnsi="宋体" w:eastAsia="宋体" w:cs="宋体"/>
                <w:szCs w:val="21"/>
              </w:rPr>
            </w:pPr>
            <w:r>
              <w:rPr>
                <w:rFonts w:hint="eastAsia" w:ascii="宋体" w:hAnsi="宋体" w:eastAsia="宋体" w:cs="宋体"/>
                <w:szCs w:val="21"/>
              </w:rPr>
              <w:t>民事诉讼法、刑事诉讼法</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2</w:t>
      </w:r>
      <w:r>
        <w:rPr>
          <w:rFonts w:hint="eastAsia" w:ascii="宋体" w:hAnsi="宋体" w:eastAsia="宋体" w:cs="宋体"/>
          <w:szCs w:val="21"/>
        </w:rPr>
        <w:t>6000元。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120" w:firstLineChars="50"/>
        <w:rPr>
          <w:rFonts w:hint="eastAsia" w:ascii="宋体" w:hAnsi="宋体"/>
          <w:sz w:val="24"/>
        </w:rPr>
      </w:pPr>
      <w:r>
        <w:rPr>
          <w:rFonts w:hint="eastAsia" w:ascii="宋体" w:hAnsi="宋体"/>
          <w:sz w:val="24"/>
        </w:rPr>
        <w:t>学号：_________________</w:t>
      </w:r>
    </w:p>
    <w:p>
      <w:pPr>
        <w:ind w:firstLine="360" w:firstLineChars="150"/>
        <w:rPr>
          <w:rFonts w:hint="eastAsia" w:ascii="黑体" w:hAnsi="宋体" w:eastAsia="黑体"/>
          <w:sz w:val="32"/>
          <w:szCs w:val="32"/>
        </w:rPr>
      </w:pPr>
      <w:r>
        <w:rPr>
          <w:rFonts w:hint="eastAsia" w:ascii="宋体" w:hAnsi="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pPr>
                              <w:widowControl/>
                              <w:rPr>
                                <w:rFonts w:hint="eastAsia"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pt;margin-top:1.95pt;height:24pt;width:115.45pt;z-index:251660288;mso-width-relative:page;mso-height-relative:page;" fillcolor="#FFFFFF" filled="t" stroked="t" coordsize="21600,2160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zHJbXAAAACAEAAA8AAAAAAAAAAQAgAAAAIgAAAGRycy9kb3ducmV2LnhtbFBLAQIUABQAAAAI&#10;AIdO4kAHMtkwJwIAAEcEAAAOAAAAAAAAAAEAIAAAACYBAABkcnMvZTJvRG9jLnhtbFBLBQYAAAAA&#10;BgAGAFkBAAC/BQAAAAA=&#10;">
                <v:fill on="t" focussize="0,0"/>
                <v:stroke color="#FFFFFF" miterlimit="8" joinstyle="miter"/>
                <v:imagedata o:title=""/>
                <o:lock v:ext="edit" aspectratio="f"/>
                <v:textbox>
                  <w:txbxContent>
                    <w:p>
                      <w:pPr>
                        <w:widowControl/>
                        <w:rPr>
                          <w:rFonts w:hint="eastAsia" w:ascii="宋体" w:hAnsi="宋体" w:cs="宋体"/>
                          <w:color w:val="000000"/>
                          <w:kern w:val="0"/>
                          <w:szCs w:val="21"/>
                        </w:rPr>
                      </w:pPr>
                    </w:p>
                  </w:txbxContent>
                </v:textbox>
              </v:shape>
            </w:pict>
          </mc:Fallback>
        </mc:AlternateContent>
      </w:r>
      <w:r>
        <w:rPr>
          <w:rFonts w:hint="eastAsia" w:ascii="宋体" w:hAnsi="宋体"/>
          <w:sz w:val="24"/>
        </w:rPr>
        <w:t xml:space="preserve"> </w:t>
      </w:r>
      <w:r>
        <w:rPr>
          <w:rFonts w:hint="eastAsia" w:ascii="宋体" w:hAnsi="宋体"/>
          <w:b/>
          <w:sz w:val="36"/>
          <w:szCs w:val="36"/>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688975</wp:posOffset>
          </wp:positionH>
          <wp:positionV relativeFrom="paragraph">
            <wp:posOffset>2110105</wp:posOffset>
          </wp:positionV>
          <wp:extent cx="3922395" cy="3922395"/>
          <wp:effectExtent l="0" t="0" r="1905" b="1905"/>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22395" cy="39223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2104F"/>
    <w:rsid w:val="0000703C"/>
    <w:rsid w:val="00560042"/>
    <w:rsid w:val="005D25B4"/>
    <w:rsid w:val="007D455A"/>
    <w:rsid w:val="00837C85"/>
    <w:rsid w:val="0094274F"/>
    <w:rsid w:val="00AA5265"/>
    <w:rsid w:val="00E54D2C"/>
    <w:rsid w:val="05A46380"/>
    <w:rsid w:val="05FE0074"/>
    <w:rsid w:val="0A9D35E5"/>
    <w:rsid w:val="19C12488"/>
    <w:rsid w:val="2152104F"/>
    <w:rsid w:val="25BB01BD"/>
    <w:rsid w:val="25C43137"/>
    <w:rsid w:val="2F1645B9"/>
    <w:rsid w:val="3EA13E0F"/>
    <w:rsid w:val="4DC0133E"/>
    <w:rsid w:val="684F4373"/>
    <w:rsid w:val="6D535020"/>
    <w:rsid w:val="73FA2FFB"/>
    <w:rsid w:val="77E0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5</Pages>
  <Words>284</Words>
  <Characters>1624</Characters>
  <Lines>13</Lines>
  <Paragraphs>3</Paragraphs>
  <TotalTime>1</TotalTime>
  <ScaleCrop>false</ScaleCrop>
  <LinksUpToDate>false</LinksUpToDate>
  <CharactersWithSpaces>1905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2018-09-06T06:50:00Z</dcterms:created>
  <dc:creator>北京-网络编辑-曹童童</dc:creator>
  <cp:lastModifiedBy>19152</cp:lastModifiedBy>
  <dcterms:modified xsi:type="dcterms:W3CDTF">2019-04-28T09:13:53Z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